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4498" w14:textId="77777777" w:rsidR="00E50622" w:rsidRPr="00BD42DC" w:rsidRDefault="00E50622" w:rsidP="00E50622">
      <w:pPr>
        <w:pStyle w:val="Ttulo2"/>
        <w:spacing w:before="0" w:line="276" w:lineRule="auto"/>
        <w:rPr>
          <w:rFonts w:ascii="Montserrat" w:hAnsi="Montserrat" w:cs="Futura"/>
          <w:color w:val="AC063D"/>
          <w:sz w:val="24"/>
          <w:szCs w:val="24"/>
          <w:lang w:eastAsia="en-US"/>
        </w:rPr>
      </w:pPr>
      <w:r w:rsidRPr="00BD42DC">
        <w:rPr>
          <w:rFonts w:ascii="Montserrat" w:hAnsi="Montserrat" w:cs="Futura"/>
          <w:color w:val="AC063D"/>
          <w:sz w:val="24"/>
          <w:szCs w:val="24"/>
          <w:lang w:eastAsia="en-US"/>
        </w:rPr>
        <w:t>GUÍA DE CUMPLIMIENTO DE LA LEY DE DISCIPLINA FINANCIERA DE LAS ENTIDADES FEDERATIVAS Y MUNICIPIOS.</w:t>
      </w:r>
    </w:p>
    <w:tbl>
      <w:tblPr>
        <w:tblW w:w="5204" w:type="pct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"/>
        <w:gridCol w:w="298"/>
        <w:gridCol w:w="3545"/>
        <w:gridCol w:w="241"/>
        <w:gridCol w:w="1633"/>
        <w:gridCol w:w="241"/>
        <w:gridCol w:w="723"/>
        <w:gridCol w:w="1638"/>
        <w:gridCol w:w="822"/>
        <w:gridCol w:w="1435"/>
        <w:gridCol w:w="2659"/>
      </w:tblGrid>
      <w:tr w:rsidR="00E50622" w:rsidRPr="00EC383E" w14:paraId="1BE3640B" w14:textId="77777777" w:rsidTr="0099057A">
        <w:trPr>
          <w:tblHeader/>
        </w:trPr>
        <w:tc>
          <w:tcPr>
            <w:tcW w:w="13388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943634"/>
            <w:noWrap/>
            <w:vAlign w:val="center"/>
            <w:hideMark/>
          </w:tcPr>
          <w:p w14:paraId="59513822" w14:textId="77777777" w:rsidR="00E50622" w:rsidRPr="00EC383E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b/>
                <w:bCs/>
                <w:color w:val="FFFFFF" w:themeColor="background1"/>
                <w:sz w:val="14"/>
                <w:szCs w:val="14"/>
              </w:rPr>
              <w:t>Municipio de Benito Juárez, Quintana Roo</w:t>
            </w:r>
          </w:p>
        </w:tc>
      </w:tr>
      <w:tr w:rsidR="00E50622" w:rsidRPr="00EC383E" w14:paraId="7583AE9F" w14:textId="77777777" w:rsidTr="0099057A">
        <w:trPr>
          <w:tblHeader/>
        </w:trPr>
        <w:tc>
          <w:tcPr>
            <w:tcW w:w="1338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43634"/>
            <w:noWrap/>
            <w:vAlign w:val="center"/>
            <w:hideMark/>
          </w:tcPr>
          <w:p w14:paraId="7D81BEDA" w14:textId="77777777" w:rsidR="00E50622" w:rsidRPr="00D66A5E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FFFFFF" w:themeColor="background1"/>
                <w:sz w:val="12"/>
                <w:szCs w:val="12"/>
              </w:rPr>
            </w:pPr>
            <w:r w:rsidRPr="00D66A5E">
              <w:rPr>
                <w:rFonts w:ascii="Futura T OT" w:eastAsia="Times New Roman" w:hAnsi="Futura T OT" w:cs="Calibri"/>
                <w:b/>
                <w:bCs/>
                <w:color w:val="FFFFFF" w:themeColor="background1"/>
                <w:sz w:val="12"/>
                <w:szCs w:val="12"/>
              </w:rPr>
              <w:t>Guía de Cumplimiento de la Ley de Disciplina Financiera de las Entidades Federativas y Municipios</w:t>
            </w:r>
          </w:p>
        </w:tc>
      </w:tr>
      <w:tr w:rsidR="00E50622" w:rsidRPr="00EC383E" w14:paraId="3D2595D2" w14:textId="77777777" w:rsidTr="0099057A">
        <w:trPr>
          <w:tblHeader/>
        </w:trPr>
        <w:tc>
          <w:tcPr>
            <w:tcW w:w="1338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43634"/>
            <w:noWrap/>
            <w:vAlign w:val="center"/>
            <w:hideMark/>
          </w:tcPr>
          <w:p w14:paraId="57CF0CA9" w14:textId="77777777" w:rsidR="00E50622" w:rsidRPr="00D66A5E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FFFFFF" w:themeColor="background1"/>
                <w:sz w:val="12"/>
                <w:szCs w:val="12"/>
              </w:rPr>
            </w:pPr>
            <w:r w:rsidRPr="00D66A5E">
              <w:rPr>
                <w:rFonts w:ascii="Futura T OT" w:eastAsia="Times New Roman" w:hAnsi="Futura T OT" w:cs="Calibri"/>
                <w:b/>
                <w:bCs/>
                <w:color w:val="FFFFFF" w:themeColor="background1"/>
                <w:sz w:val="12"/>
                <w:szCs w:val="12"/>
              </w:rPr>
              <w:t>Del 1 de enero al 31 de diciembre de 2025</w:t>
            </w:r>
          </w:p>
        </w:tc>
      </w:tr>
      <w:tr w:rsidR="00E50622" w:rsidRPr="00EC383E" w14:paraId="05CB28EE" w14:textId="77777777" w:rsidTr="0099057A">
        <w:trPr>
          <w:tblHeader/>
        </w:trPr>
        <w:tc>
          <w:tcPr>
            <w:tcW w:w="408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  <w:hideMark/>
          </w:tcPr>
          <w:p w14:paraId="65F17EBD" w14:textId="77777777" w:rsidR="00E50622" w:rsidRPr="00EC383E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EC383E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Indicadores de Observancia (c)</w:t>
            </w:r>
          </w:p>
        </w:tc>
        <w:tc>
          <w:tcPr>
            <w:tcW w:w="28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  <w:hideMark/>
          </w:tcPr>
          <w:p w14:paraId="7C98169C" w14:textId="77777777" w:rsidR="00E50622" w:rsidRPr="00EC383E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EC383E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Implementación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  <w:hideMark/>
          </w:tcPr>
          <w:p w14:paraId="71A86BD6" w14:textId="77777777" w:rsidR="00E50622" w:rsidRPr="00EC383E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EC383E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Resultado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653DD2AC" w14:textId="77777777" w:rsidR="00E50622" w:rsidRPr="00EC383E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EC383E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Fundamento (h)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0FC7F9E9" w14:textId="77777777" w:rsidR="00E50622" w:rsidRPr="00EC383E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EC383E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Comentarios (i)</w:t>
            </w:r>
          </w:p>
        </w:tc>
      </w:tr>
      <w:tr w:rsidR="00E50622" w:rsidRPr="001B599B" w14:paraId="718A93FA" w14:textId="77777777" w:rsidTr="0099057A">
        <w:trPr>
          <w:tblHeader/>
        </w:trPr>
        <w:tc>
          <w:tcPr>
            <w:tcW w:w="408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5DEDD84C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  <w:hideMark/>
          </w:tcPr>
          <w:p w14:paraId="088FD16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SI</w:t>
            </w:r>
          </w:p>
        </w:tc>
        <w:tc>
          <w:tcPr>
            <w:tcW w:w="9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  <w:hideMark/>
          </w:tcPr>
          <w:p w14:paraId="1060FE3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NO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  <w:hideMark/>
          </w:tcPr>
          <w:p w14:paraId="7405346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06B77A7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7E2834B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7D3C071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</w:p>
        </w:tc>
      </w:tr>
      <w:tr w:rsidR="00E50622" w:rsidRPr="001B599B" w14:paraId="573EC9C7" w14:textId="77777777" w:rsidTr="0099057A">
        <w:trPr>
          <w:tblHeader/>
        </w:trPr>
        <w:tc>
          <w:tcPr>
            <w:tcW w:w="408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6C5BD15B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197B93D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4E425E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Mecanismo de Verificación (d)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F8E031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619D88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 xml:space="preserve">Fecha estimada de cumplimiento (e) 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2D050"/>
            <w:vAlign w:val="center"/>
            <w:hideMark/>
          </w:tcPr>
          <w:p w14:paraId="5894BC4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Monto o valor (f)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D0919E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Unidad (pesos/porcentaje) (g)</w:t>
            </w: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133D91C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D1CDC5D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</w:p>
        </w:tc>
      </w:tr>
      <w:tr w:rsidR="00E50622" w:rsidRPr="001B599B" w14:paraId="13B7301E" w14:textId="77777777" w:rsidTr="0099057A">
        <w:tc>
          <w:tcPr>
            <w:tcW w:w="4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ECFCA03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INDICADORES PRESUPUESTARIOS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4858C1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25C0E4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09C449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5FFE7F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572AE6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B9A27D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3F775A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69DFA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</w:tr>
      <w:tr w:rsidR="00E50622" w:rsidRPr="001B599B" w14:paraId="57BE5B6B" w14:textId="77777777" w:rsidTr="0099057A">
        <w:tc>
          <w:tcPr>
            <w:tcW w:w="4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5BDA5D1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A. INDICADORES CUANTITATIVOS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78F489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EE0F13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692D0C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961320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0C9CD9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8E06AB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46B31B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602D7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</w:tr>
      <w:tr w:rsidR="00E50622" w:rsidRPr="001B599B" w14:paraId="194111DD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CC6027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3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35A87D3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Balance Presupuestario Sostenible (j)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3195A4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EA9519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0AB50F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74CED8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D41A59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A7B7A1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E086A9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3EE550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</w:tr>
      <w:tr w:rsidR="00E50622" w:rsidRPr="001B599B" w14:paraId="3538B3D1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570BC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6C7A0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9183F5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Propuesto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8010B0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0D231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Iniciativa de Ley de Ingresos y Proyecto de Presupuesto de Egresos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087D41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B9F42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8C907" w14:textId="77777777" w:rsidR="00E50622" w:rsidRPr="001B599B" w:rsidRDefault="00E50622" w:rsidP="0099057A">
            <w:pPr>
              <w:spacing w:after="0" w:line="240" w:lineRule="auto"/>
              <w:ind w:firstLineChars="100" w:firstLine="12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A4B5E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E27C9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6 y 19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D360E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4435B44C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571A1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91A56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b.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8406BC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Aprobado</w:t>
            </w: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0346B9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BCD45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Ley de Ingresos y Presupuesto de Egresos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29E83D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BF4A9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9C97C9" w14:textId="77777777" w:rsidR="00E50622" w:rsidRPr="001B599B" w:rsidRDefault="00E50622" w:rsidP="0099057A">
            <w:pPr>
              <w:spacing w:after="0" w:line="240" w:lineRule="auto"/>
              <w:ind w:firstLineChars="100" w:firstLine="12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77BE3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C8B5F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6 y 19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F9C63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36FA30A0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52A7B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9FF9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c.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EF5FB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Ejercido</w:t>
            </w: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BF8BE1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660D9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Cuenta Pública / Formato 4 LDF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23D49C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A0497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D2EA662" w14:textId="77777777" w:rsidR="00E50622" w:rsidRPr="001B599B" w:rsidRDefault="00E50622" w:rsidP="0099057A">
            <w:pPr>
              <w:spacing w:after="0" w:line="240" w:lineRule="auto"/>
              <w:ind w:firstLineChars="100" w:firstLine="12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4,052,845.22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B1BCC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A389C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6 y 19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E8E08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25254222" w14:textId="77777777" w:rsidTr="0099057A"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728299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AD059ED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Balance Presupuestario de Recursos Disponibles Sostenible (k)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616AB4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EB6400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</w:tcPr>
          <w:p w14:paraId="60C40A7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BD245A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CC804D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6F9EA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</w:tr>
      <w:tr w:rsidR="00E50622" w:rsidRPr="001B599B" w14:paraId="64819190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66DC4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1E80E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437B86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Propuesto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E6B59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D0967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Iniciativa de Ley de Ingresos y Proyecto de Presupuesto de Egresos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29AA7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7EC4B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4DA6FB" w14:textId="77777777" w:rsidR="00E50622" w:rsidRPr="001B599B" w:rsidRDefault="00E50622" w:rsidP="0099057A">
            <w:pPr>
              <w:spacing w:after="0" w:line="240" w:lineRule="auto"/>
              <w:ind w:firstLineChars="100" w:firstLine="12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0BA06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14A81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6 y 19 de la LDF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81680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6BE9A491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BA2F2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AFF64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b.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891A4E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Aprobado</w:t>
            </w: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C2E18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51CA0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Ley de Ingresos y Presupuesto de Egresos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C1842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F6C84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6ECB13" w14:textId="77777777" w:rsidR="00E50622" w:rsidRPr="001B599B" w:rsidRDefault="00E50622" w:rsidP="0099057A">
            <w:pPr>
              <w:spacing w:after="0" w:line="240" w:lineRule="auto"/>
              <w:ind w:firstLineChars="100" w:firstLine="12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716BF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4801A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6 y 19 de la LDF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74478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5CB9642A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5B3F4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97FA6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c.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6D6F39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Ejercido</w:t>
            </w: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50AD9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1FF8B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Cuenta Pública / Formato 4 LDF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96026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E7663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A01CE" w14:textId="77777777" w:rsidR="00E50622" w:rsidRPr="001B599B" w:rsidRDefault="00E50622" w:rsidP="0099057A">
            <w:pPr>
              <w:spacing w:after="0" w:line="240" w:lineRule="auto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3,652,443.68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343F4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BB7E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6 y 19 de la LDF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A7A9BD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4E03B348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F44900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4561E2F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Financiamiento Neto dentro del Techo de Financiamiento Neto (l)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6D0A90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DF1FF2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</w:tcPr>
          <w:p w14:paraId="57D5AA0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AE8668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0B1DAF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2985E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</w:tr>
      <w:tr w:rsidR="00E50622" w:rsidRPr="001B599B" w14:paraId="5F06A63D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01C2D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9BE13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1A9B52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Propuesto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56B1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914A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 xml:space="preserve">Iniciativa de Ley de Ingresos 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B6F8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2E59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56F81C3" w14:textId="77777777" w:rsidR="00E50622" w:rsidRPr="001B599B" w:rsidRDefault="00E50622" w:rsidP="0099057A">
            <w:pPr>
              <w:spacing w:after="0" w:line="240" w:lineRule="auto"/>
              <w:ind w:firstLineChars="100" w:firstLine="12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20BD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D874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6, 19 y 46 de la LDF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DAB96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3E8BDE63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24507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30E5E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b.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F10A51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Aprobado</w:t>
            </w: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2583C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3CD4D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 xml:space="preserve">Ley de Ingresos 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BDFF6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FB7D8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0AF0CC" w14:textId="77777777" w:rsidR="00E50622" w:rsidRPr="001B599B" w:rsidRDefault="00E50622" w:rsidP="0099057A">
            <w:pPr>
              <w:spacing w:after="0" w:line="240" w:lineRule="auto"/>
              <w:ind w:firstLineChars="100" w:firstLine="12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C46C4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7B5D3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6, 19 y 46 de la LDF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3533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19D9563D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DF566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02907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c.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6D50BE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Ejercido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BF5A3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F5F8D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Cuenta Pública / Formato 4 LDF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57C3F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05CA9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33A30C3" w14:textId="77777777" w:rsidR="00E50622" w:rsidRPr="001B599B" w:rsidRDefault="00E50622" w:rsidP="0099057A">
            <w:pPr>
              <w:spacing w:after="0" w:line="240" w:lineRule="auto"/>
              <w:ind w:firstLineChars="100" w:firstLine="12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-38,817,018.50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6D994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F37D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6, 19 y 46 de la LDF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2D887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</w:tr>
      <w:tr w:rsidR="00E50622" w:rsidRPr="001B599B" w14:paraId="22DE1DA6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1CE123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lastRenderedPageBreak/>
              <w:t>4</w:t>
            </w:r>
          </w:p>
        </w:tc>
        <w:tc>
          <w:tcPr>
            <w:tcW w:w="40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99CA5D7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Recursos destinados a la atención de desastres naturales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992D9E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1BD967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141DAC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673AB3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E7C251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BA6A69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5299A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</w:tr>
      <w:tr w:rsidR="00E50622" w:rsidRPr="001B599B" w14:paraId="407ECAB4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242BB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ACFC9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sz w:val="12"/>
                <w:szCs w:val="12"/>
              </w:rPr>
              <w:t>a.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631E25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sz w:val="12"/>
                <w:szCs w:val="12"/>
              </w:rPr>
              <w:t>Asignación al fideicomiso para desastres naturales (m)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8863D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6BB06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5B7CB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CB764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84814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60E06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8CC3A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BA6E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</w:tr>
      <w:tr w:rsidR="00E50622" w:rsidRPr="001B599B" w14:paraId="2E99D8BA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332C9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4358F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B955C6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a.1 Aprobado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1C566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2CC16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 xml:space="preserve">Reporte </w:t>
            </w:r>
            <w:proofErr w:type="spellStart"/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Trim</w:t>
            </w:r>
            <w:proofErr w:type="spellEnd"/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. Formato 6 a)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05826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67D94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62914" w14:textId="77777777" w:rsidR="00E50622" w:rsidRPr="001B599B" w:rsidRDefault="00E50622" w:rsidP="0099057A">
            <w:pPr>
              <w:spacing w:after="0" w:line="240" w:lineRule="auto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62E81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6F0B0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9 de la LDF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E0706B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5F328034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1C122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F1B0B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1660E9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a.2 Pagado</w:t>
            </w: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90961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DB138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Cuenta Pública / Formato 6 a)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89D36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7EEAD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3C903" w14:textId="77777777" w:rsidR="00E50622" w:rsidRPr="001B599B" w:rsidRDefault="00E50622" w:rsidP="0099057A">
            <w:pPr>
              <w:spacing w:after="0" w:line="240" w:lineRule="auto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437DE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423D5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9 de la LDF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39244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3A421EDA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6D29C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E782F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b.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972960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Aportación promedio realizada por la Entidad Federativa durante los 5 ejercicios previos, para infraestructura dañada por desastres naturales (n)</w:t>
            </w: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1B08D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2EE61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Autorizaciones de recursos aprobados por el FONDEN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3DCD0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EE98A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63DB3F" w14:textId="77777777" w:rsidR="00E50622" w:rsidRPr="001B599B" w:rsidRDefault="00E50622" w:rsidP="0099057A">
            <w:pPr>
              <w:spacing w:after="0" w:line="240" w:lineRule="auto"/>
              <w:ind w:firstLineChars="200" w:firstLine="24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DED4C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95CEC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9 de la LDF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02A852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4BEC8DE4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A65F3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9EDE6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c.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C5E138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Saldo del fideicomiso para desastres naturales (o)</w:t>
            </w: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5DDAB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D63B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Cuenta Pública / Auxiliar de Cuentas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085D1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933B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D72025F" w14:textId="77777777" w:rsidR="00E50622" w:rsidRPr="001B599B" w:rsidRDefault="00E50622" w:rsidP="0099057A">
            <w:pPr>
              <w:spacing w:after="0" w:line="240" w:lineRule="auto"/>
              <w:ind w:firstLineChars="200" w:firstLine="24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1B8E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F26D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9 de la LDF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721DC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7C44B82C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0C4BA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C0229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d.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FC90B1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Costo promedio de los últimos 5 ejercicios de la reconstrucción de infraestructura dañada por desastres naturales (p)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479DD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FC64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Autorizaciones de recursos aprobados por el FONDEN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E77FD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F5AD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FEC520D" w14:textId="77777777" w:rsidR="00E50622" w:rsidRPr="001B599B" w:rsidRDefault="00E50622" w:rsidP="0099057A">
            <w:pPr>
              <w:spacing w:after="0" w:line="240" w:lineRule="auto"/>
              <w:ind w:firstLineChars="200" w:firstLine="24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4B12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D563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9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41AAD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6D92E746" w14:textId="77777777" w:rsidTr="0099057A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A72A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D8ED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DB90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0232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242D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A6B7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8E99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6961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8750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D650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9AA3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</w:tr>
      <w:tr w:rsidR="00E50622" w:rsidRPr="001B599B" w14:paraId="17A8192F" w14:textId="77777777" w:rsidTr="0099057A"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7BF619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3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40FACC1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Techo para servicios personales (q)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8634C3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46FCD9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02F247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B97112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D79947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C41021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4F98E3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D26CE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</w:tr>
      <w:tr w:rsidR="00E50622" w:rsidRPr="001B599B" w14:paraId="0A66F80A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DAD5F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4E95C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 xml:space="preserve">a.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D3FC15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Asignación en el Presupuesto de Egresos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A8BD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3AB9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 xml:space="preserve">Reporte </w:t>
            </w:r>
            <w:proofErr w:type="spellStart"/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Trim</w:t>
            </w:r>
            <w:proofErr w:type="spellEnd"/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. Formato 6 d)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BB79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025D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CE81267" w14:textId="77777777" w:rsidR="00E50622" w:rsidRPr="001B599B" w:rsidRDefault="00E50622" w:rsidP="0099057A">
            <w:pPr>
              <w:spacing w:after="0" w:line="240" w:lineRule="auto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2,724,094,422.00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6D1D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7CBF1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10 y 21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BC49C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43173D8E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46599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E709E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 xml:space="preserve">b.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7306C1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Ejercido</w:t>
            </w: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D70A4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B242D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 xml:space="preserve">Reporte </w:t>
            </w:r>
            <w:proofErr w:type="spellStart"/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Trim</w:t>
            </w:r>
            <w:proofErr w:type="spellEnd"/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. Formato 6 d)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BB5EB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2E65A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FFA911" w14:textId="77777777" w:rsidR="00E50622" w:rsidRPr="001B599B" w:rsidRDefault="00E50622" w:rsidP="0099057A">
            <w:pPr>
              <w:spacing w:after="0" w:line="240" w:lineRule="auto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3,235,266,997.41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05B76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90C0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 xml:space="preserve">Art. 13 </w:t>
            </w:r>
            <w:proofErr w:type="spellStart"/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fracc.</w:t>
            </w:r>
            <w:proofErr w:type="spellEnd"/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 xml:space="preserve"> V y 21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E87A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46456BA2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DA13E6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5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DE51DF6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 xml:space="preserve">Previsiones de gasto para compromisos de pago derivados de </w:t>
            </w:r>
            <w:proofErr w:type="spellStart"/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APPs</w:t>
            </w:r>
            <w:proofErr w:type="spellEnd"/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 xml:space="preserve"> (r) 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9BB471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0A3770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</w:tcPr>
          <w:p w14:paraId="7A1A256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81AB74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3F672E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0A35D7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</w:p>
        </w:tc>
      </w:tr>
      <w:tr w:rsidR="00E50622" w:rsidRPr="001B599B" w14:paraId="4BAB45EC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3EF1C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CD530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 xml:space="preserve">a.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F70C30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Asignación en el Presupuesto de Egresos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9B3C5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66CA9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Presupuesto de Egresos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760B4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9B33C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F223B" w14:textId="77777777" w:rsidR="00E50622" w:rsidRPr="001B599B" w:rsidRDefault="00E50622" w:rsidP="0099057A">
            <w:pPr>
              <w:spacing w:after="0" w:line="240" w:lineRule="auto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70F45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5AB5A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11 y 21 de la LDF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FF8824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27CEAAF0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4A6497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3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A5C0F9F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Techo de ADEFAS para el ejercicio fiscal (s)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8D040F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8594DD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50B686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1B1F01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254A20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3D8FA8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60FDCE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9AEEF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</w:tr>
      <w:tr w:rsidR="00E50622" w:rsidRPr="001B599B" w14:paraId="10921D27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8082E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2B410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 xml:space="preserve">a.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6A39E1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Propuesto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B372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F481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Proyecto de Presupuesto de Egresos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D059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CB2B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12B83" w14:textId="77777777" w:rsidR="00E50622" w:rsidRPr="001B599B" w:rsidRDefault="00E50622" w:rsidP="0099057A">
            <w:pPr>
              <w:spacing w:after="0" w:line="240" w:lineRule="auto"/>
              <w:ind w:firstLineChars="100" w:firstLine="12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F254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268CE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12 y 20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F77D6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51C2C514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75211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82FA2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 xml:space="preserve">b.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C33D47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Aprobado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128C7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A433A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 xml:space="preserve">Reporte </w:t>
            </w:r>
            <w:proofErr w:type="spellStart"/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Trim</w:t>
            </w:r>
            <w:proofErr w:type="spellEnd"/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. Formato 6 a)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5EA03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35B60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93EB2E" w14:textId="77777777" w:rsidR="00E50622" w:rsidRPr="001B599B" w:rsidRDefault="00E50622" w:rsidP="0099057A">
            <w:pPr>
              <w:spacing w:after="0" w:line="240" w:lineRule="auto"/>
              <w:ind w:firstLineChars="100" w:firstLine="12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B1FAA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E8F82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12 y 20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85240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19791922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0F692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41012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c.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D66A7E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Ejercido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0537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FDBF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Cuenta Pública / Formato 6 a)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59E3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392E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A66E9F" w14:textId="77777777" w:rsidR="00E50622" w:rsidRPr="001B599B" w:rsidRDefault="00E50622" w:rsidP="0099057A">
            <w:pPr>
              <w:spacing w:after="0" w:line="240" w:lineRule="auto"/>
              <w:ind w:firstLineChars="100" w:firstLine="12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E9C0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4C9A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12 y 20 de la LDF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9EBD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2C44EFFA" w14:textId="77777777" w:rsidTr="0099057A">
        <w:tc>
          <w:tcPr>
            <w:tcW w:w="4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5C5DD28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lastRenderedPageBreak/>
              <w:t>B. INDICADORES CUALITATIVOS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2C21D0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BE052B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7D0E5C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40CEEB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F2DFAD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1FD756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38CF19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11C0DA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</w:p>
        </w:tc>
      </w:tr>
      <w:tr w:rsidR="00E50622" w:rsidRPr="001B599B" w14:paraId="079B4FDA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BB70CA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3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86D6F45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Iniciativa de Ley de Ingresos y Proyecto de Presupuesto de Egresos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952916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FA095A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E9ADA5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5B773B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9DEA56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D7BE7D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579D5E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E1004F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</w:p>
        </w:tc>
      </w:tr>
      <w:tr w:rsidR="00E50622" w:rsidRPr="001B599B" w14:paraId="2CE776B5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5302A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9ADF0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6AAEF1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Objetivos anuales, estrategias y metas para el ejercicio fiscal (t)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60B2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6821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Iniciativa de Ley de Ingresos y Proyecto de Presupuesto de Egresos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9FC5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311E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C221B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93FA5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F7B06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5 y 18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3810C1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563C1"/>
                <w:sz w:val="12"/>
                <w:szCs w:val="12"/>
                <w:u w:val="single"/>
              </w:rPr>
            </w:pPr>
          </w:p>
        </w:tc>
      </w:tr>
      <w:tr w:rsidR="00E50622" w:rsidRPr="001B599B" w14:paraId="71C0414C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C1D93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B7F10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b.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A724D0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Proyecciones de ejercicios posteriores (u)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C160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5FBE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Iniciativa de Ley de Ingresos y Proyecto de Presupuesto de Egresos / Formatos 7 a) y b)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DECA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D197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B7A13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AF5A9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326C5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5 y 18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3A650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563C1"/>
                <w:sz w:val="12"/>
                <w:szCs w:val="12"/>
                <w:u w:val="single"/>
              </w:rPr>
            </w:pPr>
          </w:p>
        </w:tc>
      </w:tr>
      <w:tr w:rsidR="00E50622" w:rsidRPr="001B599B" w14:paraId="5968AC9D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95F29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87D5E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c.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2508E8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Descripción de riesgos relevantes y propuestas de acción para enfrentarlos (v)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382E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18A7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Iniciativa de Ley de Ingresos y Proyecto de Presupuesto de Egresos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AF4E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2997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571A2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92A6B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130AA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5 y 18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8BB342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563C1"/>
                <w:sz w:val="12"/>
                <w:szCs w:val="12"/>
                <w:u w:val="single"/>
              </w:rPr>
            </w:pPr>
          </w:p>
        </w:tc>
      </w:tr>
      <w:tr w:rsidR="00E50622" w:rsidRPr="001B599B" w14:paraId="44996EC3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B2E15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7CC74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d.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F62A30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Resultados de ejercicios fiscales anteriores y el ejercicio fiscal en cuestión (w)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D582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B3BB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Iniciativa de Ley de Ingresos y Proyecto de Presupuesto de Egresos / Formatos 7 c) y d)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E9EC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DA36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71F32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8A892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BD1A9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5 y 18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B15F15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563C1"/>
                <w:sz w:val="12"/>
                <w:szCs w:val="12"/>
                <w:u w:val="single"/>
              </w:rPr>
            </w:pPr>
          </w:p>
        </w:tc>
      </w:tr>
      <w:tr w:rsidR="00E50622" w:rsidRPr="001B599B" w14:paraId="2033F13A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3B094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DFCBD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e.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9C229D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Estudio actuarial de las pensiones de sus trabajadores (x)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8D8B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E019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Proyecto de Presupuesto de Egresos / Formato 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F473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C92A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93D49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4F3AE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2D98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5 y 18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AFD966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563C1"/>
                <w:sz w:val="12"/>
                <w:szCs w:val="12"/>
                <w:u w:val="single"/>
              </w:rPr>
            </w:pPr>
          </w:p>
        </w:tc>
      </w:tr>
      <w:tr w:rsidR="00E50622" w:rsidRPr="001B599B" w14:paraId="41F0DE43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3BA096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3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3067069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Balance Presupuestario de Recursos Disponibles, en caso de ser negativo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913190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CB3F3D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E9D5D7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6183FA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B4FC3A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E1309B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B69403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D0A25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</w:tr>
      <w:tr w:rsidR="00E50622" w:rsidRPr="001B599B" w14:paraId="66BE1F6E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8B977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3DA17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6937A3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Razones excepcionales que justifican el Balance Presupuestario de Recursos Disponibles negativo (y)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8526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D889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Iniciativa de Ley de Ingresos o Proyecto de Presupuesto de Egresos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CEC0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7C21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DD449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9C5DA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C15D2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6 y 19 de la LDF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01F95A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3A658978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C8BC6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F024B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b.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BD58E6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Fuente de recursos para cubrir el Balance Presupuestario de Recursos Disponibles negativo (z)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82FE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3255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Iniciativa de Ley de Ingresos o Proyecto de Presupuesto de Egresos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C26E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CB9B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7D86D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AB768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EF9D6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6 y 19 de la LDF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C76F36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7C604F04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57978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5C4B0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c.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B79F4A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Número de ejercicios fiscales y acciones necesarias para cubrir el Balance Presupuestario de Recursos Disponibles negativo (</w:t>
            </w:r>
            <w:proofErr w:type="spellStart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aa</w:t>
            </w:r>
            <w:proofErr w:type="spellEnd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6BFD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B3CE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Iniciativa de Ley de Ingresos o Proyecto de Presupuesto de Egresos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D406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D071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E4C18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E08A1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F7E5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6 y 19 de la LDF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3E702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55D1A3E4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C4530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B1EFB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d.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45ED7C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Informes Trimestrales sobre el avance de las acciones para recuperar el Balance Presupuestario de Recursos Disponibles (</w:t>
            </w:r>
            <w:proofErr w:type="spellStart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bb</w:t>
            </w:r>
            <w:proofErr w:type="spellEnd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49C1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5FE4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 xml:space="preserve">Reporte </w:t>
            </w:r>
            <w:proofErr w:type="spellStart"/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Trim</w:t>
            </w:r>
            <w:proofErr w:type="spellEnd"/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. y Cuenta Pública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9637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93BA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23309E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10BE2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B13E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6 y 19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17D19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47ED532E" w14:textId="77777777" w:rsidTr="0099057A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9479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BEC3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269C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FCE2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595F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76B7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19CC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93AA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B921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FBD5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F95A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</w:tr>
      <w:tr w:rsidR="00E50622" w:rsidRPr="001B599B" w14:paraId="4EFB9F6D" w14:textId="77777777" w:rsidTr="0099057A"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69CDCE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AD492C4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Servicios Personales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80F503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E85B7F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AEFFC2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3A8B06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983D8D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221F11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B2AE26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73CB51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</w:p>
        </w:tc>
      </w:tr>
      <w:tr w:rsidR="00E50622" w:rsidRPr="00985DF9" w14:paraId="3DE0A208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1FE64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D2D95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 xml:space="preserve">a.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E79487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Remuneraciones de los servidores públicos (</w:t>
            </w:r>
            <w:proofErr w:type="spellStart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cc</w:t>
            </w:r>
            <w:proofErr w:type="spellEnd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9B6F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C025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Proyecto de Presupuesto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34FD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B1C2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74330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D7519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62D06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10 y 21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E297A7" w14:textId="77777777" w:rsidR="00E50622" w:rsidRPr="00985DF9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563C1"/>
                <w:sz w:val="12"/>
                <w:szCs w:val="12"/>
                <w:u w:val="single"/>
              </w:rPr>
            </w:pPr>
          </w:p>
        </w:tc>
      </w:tr>
      <w:tr w:rsidR="00E50622" w:rsidRPr="00985DF9" w14:paraId="29C64001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B4E7D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301D1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 xml:space="preserve">b.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D9F046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Previsiones salariales y económicas para cubrir incrementos salariales, creación de plazas y otros (</w:t>
            </w:r>
            <w:proofErr w:type="spellStart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dd</w:t>
            </w:r>
            <w:proofErr w:type="spellEnd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3883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E920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Proyecto de Presupuesto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613A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BDAB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1D3309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FB157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2B06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10 y 21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E607CF" w14:textId="77777777" w:rsidR="00E50622" w:rsidRPr="00985DF9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563C1"/>
                <w:sz w:val="12"/>
                <w:szCs w:val="12"/>
                <w:u w:val="single"/>
              </w:rPr>
            </w:pPr>
          </w:p>
        </w:tc>
      </w:tr>
      <w:tr w:rsidR="00E50622" w:rsidRPr="001B599B" w14:paraId="4653CA77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5923BD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F241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75C0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2F0D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ED9C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46C9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6045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2502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8F4D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63A7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Times New Roman"/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CED1D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</w:tr>
      <w:tr w:rsidR="00E50622" w:rsidRPr="001B599B" w14:paraId="569112FB" w14:textId="77777777" w:rsidTr="0099057A">
        <w:tc>
          <w:tcPr>
            <w:tcW w:w="4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78B1006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INDICADORES DEL EJERCICIO PRESUPUESTARIO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CF2730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C33738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CE43E1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B2FB53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04851F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17DD0D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2C1ACF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152DF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</w:tr>
      <w:tr w:rsidR="00E50622" w:rsidRPr="001B599B" w14:paraId="0CFE3612" w14:textId="77777777" w:rsidTr="0099057A">
        <w:tc>
          <w:tcPr>
            <w:tcW w:w="4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6920526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A. INDICADORES CUANTITATIVOS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ADC2DB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BD3889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D2B2BD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3ED3F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568F4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0C3B45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EEB539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F3833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</w:tr>
      <w:tr w:rsidR="00E50622" w:rsidRPr="001B599B" w14:paraId="101BD42C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F6CF68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23A7667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Ingresos Excedentes derivados de Ingresos de Libre Disposición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7DD33B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C150B2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E5AC38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B0C91A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C3B70B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F5F917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05C679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FF9C4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</w:tr>
      <w:tr w:rsidR="00E50622" w:rsidRPr="00985DF9" w14:paraId="5CC92915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A7572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C8463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3AA943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Monto de Ingresos Excedentes derivados de ILD (</w:t>
            </w:r>
            <w:proofErr w:type="spellStart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ee</w:t>
            </w:r>
            <w:proofErr w:type="spellEnd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C3DCA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5B4F0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 xml:space="preserve">Cuenta Pública / Formato 5 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F4189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60FAA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7DAF2B" w14:textId="77777777" w:rsidR="00E50622" w:rsidRPr="001B599B" w:rsidRDefault="00E50622" w:rsidP="0099057A">
            <w:pPr>
              <w:spacing w:after="0" w:line="240" w:lineRule="auto"/>
              <w:ind w:firstLineChars="100" w:firstLine="12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B5C2D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FF764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14 y 21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68B3DE" w14:textId="77777777" w:rsidR="00E50622" w:rsidRPr="00985DF9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563C1"/>
                <w:sz w:val="12"/>
                <w:szCs w:val="12"/>
                <w:u w:val="single"/>
              </w:rPr>
            </w:pPr>
          </w:p>
        </w:tc>
      </w:tr>
      <w:tr w:rsidR="00E50622" w:rsidRPr="00985DF9" w14:paraId="312045DE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39F7E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E71FC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b.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BAA8C7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Monto de Ingresos Excedentes derivados de ILD destinados al fin del A.14, fracción I de la LDF (</w:t>
            </w:r>
            <w:proofErr w:type="spellStart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ff</w:t>
            </w:r>
            <w:proofErr w:type="spellEnd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99676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3E013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Cuenta Pública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C248D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723FF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D0CE655" w14:textId="77777777" w:rsidR="00E50622" w:rsidRPr="001B599B" w:rsidRDefault="00E50622" w:rsidP="0099057A">
            <w:pPr>
              <w:spacing w:after="0" w:line="240" w:lineRule="auto"/>
              <w:ind w:firstLineChars="100" w:firstLine="12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ED318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92026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14 y 21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72F4A6" w14:textId="77777777" w:rsidR="00E50622" w:rsidRPr="00985DF9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563C1"/>
                <w:sz w:val="12"/>
                <w:szCs w:val="12"/>
                <w:u w:val="single"/>
              </w:rPr>
            </w:pPr>
          </w:p>
        </w:tc>
      </w:tr>
      <w:tr w:rsidR="00E50622" w:rsidRPr="001B599B" w14:paraId="4835E452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252D0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3CC45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c.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4578A1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Monto de Ingresos Excedentes derivados de ILD destinados al fin del A.14, fracción II, a) de la LDF (</w:t>
            </w:r>
            <w:proofErr w:type="spellStart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gg</w:t>
            </w:r>
            <w:proofErr w:type="spellEnd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17A5A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2F9B9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Cuenta Pública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7017D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4E765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31F5B34" w14:textId="77777777" w:rsidR="00E50622" w:rsidRPr="001B599B" w:rsidRDefault="00E50622" w:rsidP="0099057A">
            <w:pPr>
              <w:spacing w:after="0" w:line="240" w:lineRule="auto"/>
              <w:ind w:firstLineChars="100" w:firstLine="12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FA7AB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42610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14 y 21 de la LDF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59109E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6FA961CE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84EBD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59617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d.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FCE673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Monto de Ingresos Excedentes derivados de ILD destinados al fin del A.14, fracción II, b) de la LDF (</w:t>
            </w:r>
            <w:proofErr w:type="spellStart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hh</w:t>
            </w:r>
            <w:proofErr w:type="spellEnd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1A9EA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802B3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Cuenta Pública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0668B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ED2EB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61FB0" w14:textId="77777777" w:rsidR="00E50622" w:rsidRPr="001B599B" w:rsidRDefault="00E50622" w:rsidP="0099057A">
            <w:pPr>
              <w:spacing w:after="0" w:line="240" w:lineRule="auto"/>
              <w:ind w:firstLineChars="100" w:firstLine="12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9A6A6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F16FA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14 y 21 de la LDF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5518E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</w:tr>
      <w:tr w:rsidR="00E50622" w:rsidRPr="001B599B" w14:paraId="057673CD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1A20C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67954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e.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D7C194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Monto de Ingresos Excedentes derivados de ILD destinados al fin del artículo noveno transitorio de la LDF (</w:t>
            </w:r>
            <w:proofErr w:type="spellStart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ii</w:t>
            </w:r>
            <w:proofErr w:type="spellEnd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A285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AD98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7681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1B4C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C09EB2" w14:textId="77777777" w:rsidR="00E50622" w:rsidRPr="001B599B" w:rsidRDefault="00E50622" w:rsidP="0099057A">
            <w:pPr>
              <w:spacing w:after="0" w:line="240" w:lineRule="auto"/>
              <w:ind w:firstLineChars="100" w:firstLine="120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4BDD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3131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Noveno Transitorio de la LDF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0C94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</w:tr>
      <w:tr w:rsidR="00E50622" w:rsidRPr="001B599B" w14:paraId="2822FD1D" w14:textId="77777777" w:rsidTr="0099057A">
        <w:tc>
          <w:tcPr>
            <w:tcW w:w="4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452C22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B. INDICADORES CUALITATIVOS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4BAD1B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E0C509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97D900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10BDD3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F339F6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A77841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61262D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674DD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</w:tr>
      <w:tr w:rsidR="00E50622" w:rsidRPr="001B599B" w14:paraId="2EB6B71C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55159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2AAD82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Análisis Costo-Beneficio para programas o proyectos de inversión mayores a 10 millones de UDIS (</w:t>
            </w:r>
            <w:proofErr w:type="spellStart"/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jj</w:t>
            </w:r>
            <w:proofErr w:type="spellEnd"/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F11AB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65A4D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Página de internet de la Secretaría de Finanzas o Tesorería Municipal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7280A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BEAD1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702E8C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A9E91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5F474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13 frac. III y 21 de la LDF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3D822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1D4E9D8B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9B75B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lastRenderedPageBreak/>
              <w:t>2</w:t>
            </w:r>
          </w:p>
        </w:tc>
        <w:tc>
          <w:tcPr>
            <w:tcW w:w="3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FF4DA4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 xml:space="preserve">Análisis de conveniencia y análisis de transferencia de riesgos de los proyectos </w:t>
            </w:r>
            <w:proofErr w:type="spellStart"/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APPs</w:t>
            </w:r>
            <w:proofErr w:type="spellEnd"/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kk</w:t>
            </w:r>
            <w:proofErr w:type="spellEnd"/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2387D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4DD7D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Página de internet de la Secretaría de Finanzas o Tesorería Municipal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5D66E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41C76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8B43D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B7246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FCDA1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13 frac. III y 21 de la LDF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B47673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5C77F887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FE8FB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DB9454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Identificación de población objetivo, destino y temporalidad de subsidios (ll)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62D50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524E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Página de internet de la Secretaría de Finanzas o Tesorería Municipal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4F59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EE65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16954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6AB00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0869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13 frac. VII y 21 de la LDF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90F2C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</w:p>
        </w:tc>
      </w:tr>
      <w:tr w:rsidR="00E50622" w:rsidRPr="001B599B" w14:paraId="062C27DC" w14:textId="77777777" w:rsidTr="0099057A">
        <w:tc>
          <w:tcPr>
            <w:tcW w:w="4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1864251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INDICADORES DE DEUDA PÚBLICA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6AAC6C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098F10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664518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97B8E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9CB7C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441D6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29976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79A33B7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</w:p>
        </w:tc>
      </w:tr>
      <w:tr w:rsidR="00E50622" w:rsidRPr="001B599B" w14:paraId="7F882EBA" w14:textId="77777777" w:rsidTr="0099057A">
        <w:tc>
          <w:tcPr>
            <w:tcW w:w="4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701D340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A. INDICADORES CUANTITATIVOS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121E2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E1BD18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C42F31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F740C9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2151F1B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F5725A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D4C3F2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111F799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</w:p>
        </w:tc>
      </w:tr>
      <w:tr w:rsidR="00E50622" w:rsidRPr="001B599B" w14:paraId="3EBEB47B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675A17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3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9C00A81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sz w:val="12"/>
                <w:szCs w:val="12"/>
              </w:rPr>
              <w:t>Obligaciones a Corto Plazo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75FBA27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E7521F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EA5CD1E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9BAA21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E8E39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C6FB0C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3DEBB5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sz w:val="12"/>
                <w:szCs w:val="1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12C58652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sz w:val="12"/>
                <w:szCs w:val="12"/>
              </w:rPr>
            </w:pPr>
          </w:p>
        </w:tc>
      </w:tr>
      <w:tr w:rsidR="00E50622" w:rsidRPr="00985DF9" w14:paraId="4E14BB8F" w14:textId="77777777" w:rsidTr="0099057A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1EB17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8B19D0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a.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A3CDE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Límite de Obligaciones a Corto Plazo (mm)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DF7A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3786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E9EA5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905C4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AF2AB6" w14:textId="77777777" w:rsidR="00E50622" w:rsidRPr="001B599B" w:rsidRDefault="00E50622" w:rsidP="0099057A">
            <w:pPr>
              <w:spacing w:after="0" w:line="240" w:lineRule="auto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458,182,781.28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66148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EE6D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30 frac. I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7A9E38" w14:textId="77777777" w:rsidR="00E50622" w:rsidRPr="00985DF9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563C1"/>
                <w:sz w:val="12"/>
                <w:szCs w:val="12"/>
                <w:u w:val="single"/>
              </w:rPr>
            </w:pPr>
          </w:p>
        </w:tc>
      </w:tr>
      <w:tr w:rsidR="00E50622" w:rsidRPr="00985DF9" w14:paraId="4079137F" w14:textId="77777777" w:rsidTr="0099057A">
        <w:trPr>
          <w:trHeight w:val="50"/>
        </w:trPr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6C487A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251689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b.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E51AB" w14:textId="77777777" w:rsidR="00E50622" w:rsidRPr="001B599B" w:rsidRDefault="00E50622" w:rsidP="0099057A">
            <w:pPr>
              <w:spacing w:after="0" w:line="240" w:lineRule="auto"/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Obligaciones a Corto Plazo (</w:t>
            </w:r>
            <w:proofErr w:type="spellStart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nn</w:t>
            </w:r>
            <w:proofErr w:type="spellEnd"/>
            <w:r w:rsidRPr="001B599B">
              <w:rPr>
                <w:rFonts w:ascii="Futura T OT" w:eastAsia="Times New Roman" w:hAnsi="Futura T OT" w:cs="Calibri"/>
                <w:i/>
                <w:i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00D66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EDAB3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58B3EF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BA66D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2C6BD4" w14:textId="77777777" w:rsidR="00E50622" w:rsidRPr="001B599B" w:rsidRDefault="00E50622" w:rsidP="0099057A">
            <w:pPr>
              <w:spacing w:after="0" w:line="240" w:lineRule="auto"/>
              <w:jc w:val="right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181C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Pesos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B8581" w14:textId="77777777" w:rsidR="00E50622" w:rsidRPr="001B599B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</w:pPr>
            <w:r w:rsidRPr="001B599B">
              <w:rPr>
                <w:rFonts w:ascii="Futura T OT" w:eastAsia="Times New Roman" w:hAnsi="Futura T OT" w:cs="Calibri"/>
                <w:color w:val="000000"/>
                <w:sz w:val="12"/>
                <w:szCs w:val="12"/>
              </w:rPr>
              <w:t>Art. 30 frac. I de la LDF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D8F23" w14:textId="77777777" w:rsidR="00E50622" w:rsidRPr="00985DF9" w:rsidRDefault="00E50622" w:rsidP="0099057A">
            <w:pPr>
              <w:spacing w:after="0" w:line="240" w:lineRule="auto"/>
              <w:jc w:val="center"/>
              <w:rPr>
                <w:rFonts w:ascii="Futura T OT" w:eastAsia="Times New Roman" w:hAnsi="Futura T OT" w:cs="Calibri"/>
                <w:color w:val="0563C1"/>
                <w:sz w:val="12"/>
                <w:szCs w:val="12"/>
                <w:u w:val="single"/>
              </w:rPr>
            </w:pPr>
          </w:p>
        </w:tc>
      </w:tr>
    </w:tbl>
    <w:p w14:paraId="7FEDCA8C" w14:textId="77777777" w:rsidR="00E50622" w:rsidRDefault="00E50622" w:rsidP="00E50622">
      <w:pPr>
        <w:tabs>
          <w:tab w:val="left" w:pos="1177"/>
        </w:tabs>
        <w:rPr>
          <w:rFonts w:ascii="Futura T OT" w:hAnsi="Futura T OT"/>
          <w:color w:val="595959" w:themeColor="text1" w:themeTint="A6"/>
        </w:rPr>
      </w:pPr>
    </w:p>
    <w:p w14:paraId="60804DC6" w14:textId="77777777" w:rsidR="006D6075" w:rsidRDefault="006D6075"/>
    <w:sectPr w:rsidR="006D6075" w:rsidSect="00E5062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Futura">
    <w:altName w:val="Century Gothic"/>
    <w:charset w:val="00"/>
    <w:family w:val="auto"/>
    <w:pitch w:val="variable"/>
    <w:sig w:usb0="00000001" w:usb1="4000004A" w:usb2="00000000" w:usb3="00000000" w:csb0="00000111" w:csb1="00000000"/>
  </w:font>
  <w:font w:name="Futura T OT">
    <w:altName w:val="Century Gothic"/>
    <w:panose1 w:val="00000000000000000000"/>
    <w:charset w:val="00"/>
    <w:family w:val="auto"/>
    <w:notTrueType/>
    <w:pitch w:val="variable"/>
    <w:sig w:usb0="800000AF" w:usb1="50002048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22"/>
    <w:rsid w:val="006D6075"/>
    <w:rsid w:val="00E5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CC8A"/>
  <w15:chartTrackingRefBased/>
  <w15:docId w15:val="{4D02BBF6-88DC-4F48-9784-B288133B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622"/>
    <w:pPr>
      <w:spacing w:before="120" w:after="120" w:line="360" w:lineRule="auto"/>
      <w:jc w:val="both"/>
    </w:pPr>
    <w:rPr>
      <w:lang w:eastAsia="es-MX"/>
    </w:rPr>
  </w:style>
  <w:style w:type="paragraph" w:styleId="Ttulo2">
    <w:name w:val="heading 2"/>
    <w:basedOn w:val="Normal"/>
    <w:next w:val="Normal"/>
    <w:link w:val="Ttulo2Car"/>
    <w:unhideWhenUsed/>
    <w:qFormat/>
    <w:rsid w:val="00E50622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50622"/>
    <w:rPr>
      <w:rFonts w:eastAsia="Times New Roman"/>
      <w:b/>
      <w:bCs/>
      <w:sz w:val="26"/>
      <w:szCs w:val="2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Alejandro Hernandez Yanes</dc:creator>
  <cp:keywords/>
  <dc:description/>
  <cp:lastModifiedBy>Javier Alejandro Hernandez Yanes</cp:lastModifiedBy>
  <cp:revision>1</cp:revision>
  <dcterms:created xsi:type="dcterms:W3CDTF">2026-04-25T18:20:00Z</dcterms:created>
  <dcterms:modified xsi:type="dcterms:W3CDTF">2026-04-25T18:20:00Z</dcterms:modified>
</cp:coreProperties>
</file>