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CD25" w14:textId="77777777" w:rsidR="00EB64DF" w:rsidRDefault="00EB64DF" w:rsidP="005D2B3E">
      <w:pPr>
        <w:spacing w:after="0"/>
        <w:jc w:val="both"/>
        <w:rPr>
          <w:rFonts w:ascii="Arial" w:hAnsi="Arial" w:cs="Arial"/>
          <w:sz w:val="20"/>
          <w:szCs w:val="20"/>
        </w:rPr>
      </w:pPr>
    </w:p>
    <w:p w14:paraId="7F6F2741" w14:textId="77777777" w:rsidR="00D300B8" w:rsidRDefault="00D300B8" w:rsidP="005D2B3E">
      <w:pPr>
        <w:spacing w:after="0"/>
        <w:jc w:val="both"/>
        <w:rPr>
          <w:rFonts w:ascii="Arial" w:hAnsi="Arial" w:cs="Arial"/>
          <w:sz w:val="20"/>
          <w:szCs w:val="20"/>
        </w:rPr>
      </w:pPr>
    </w:p>
    <w:p w14:paraId="15D794AB" w14:textId="3817A488"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de que la información sea de mayor utilidad para los usuarios.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A6F13A1"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 continuación, se presentan los tres tipos de notas que acompañan a los estados, a saber:</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250C11B"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 xml:space="preserve">a) </w:t>
      </w:r>
      <w:r w:rsidRPr="005732FC">
        <w:rPr>
          <w:rFonts w:ascii="Arial" w:hAnsi="Arial" w:cs="Arial"/>
          <w:sz w:val="20"/>
          <w:szCs w:val="20"/>
        </w:rPr>
        <w:tab/>
        <w:t>Notas de gestión administrativa</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F0D1CCC"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 xml:space="preserve">b) </w:t>
      </w:r>
      <w:r w:rsidRPr="005732FC">
        <w:rPr>
          <w:rFonts w:ascii="Arial" w:hAnsi="Arial" w:cs="Arial"/>
          <w:sz w:val="20"/>
          <w:szCs w:val="20"/>
        </w:rPr>
        <w:tab/>
        <w:t>Notas de desglose</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D9169DE" w14:textId="57142D5D" w:rsidR="000F2BF4" w:rsidRPr="005732FC" w:rsidRDefault="00BA3347" w:rsidP="005D2B3E">
      <w:pPr>
        <w:spacing w:after="0"/>
        <w:jc w:val="both"/>
        <w:rPr>
          <w:rFonts w:ascii="Arial" w:hAnsi="Arial" w:cs="Arial"/>
          <w:sz w:val="20"/>
          <w:szCs w:val="20"/>
        </w:rPr>
      </w:pPr>
      <w:r w:rsidRPr="005732FC">
        <w:rPr>
          <w:rFonts w:ascii="Arial" w:hAnsi="Arial" w:cs="Arial"/>
          <w:sz w:val="20"/>
          <w:szCs w:val="20"/>
        </w:rPr>
        <w:t xml:space="preserve">c) </w:t>
      </w:r>
      <w:r w:rsidRPr="005732FC">
        <w:rPr>
          <w:rFonts w:ascii="Arial" w:hAnsi="Arial" w:cs="Arial"/>
          <w:sz w:val="20"/>
          <w:szCs w:val="20"/>
        </w:rPr>
        <w:tab/>
        <w:t>Notas de memoria (cuentas de orden)</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B152495" w14:textId="60A5A3FF" w:rsidR="009F19A8" w:rsidRPr="005732FC" w:rsidRDefault="00BA3347" w:rsidP="005D2B3E">
      <w:pPr>
        <w:spacing w:after="0"/>
        <w:jc w:val="both"/>
        <w:rPr>
          <w:rFonts w:ascii="Arial" w:hAnsi="Arial" w:cs="Arial"/>
          <w:sz w:val="20"/>
          <w:szCs w:val="20"/>
        </w:rPr>
      </w:pPr>
      <w:r w:rsidRPr="005732FC">
        <w:rPr>
          <w:rFonts w:ascii="Arial" w:hAnsi="Arial" w:cs="Arial"/>
          <w:sz w:val="20"/>
          <w:szCs w:val="20"/>
        </w:rPr>
        <w:tab/>
      </w:r>
    </w:p>
    <w:tbl>
      <w:tblPr>
        <w:tblStyle w:val="Tablaconcuadrcula"/>
        <w:tblW w:w="5000" w:type="pct"/>
        <w:tblLook w:val="04A0" w:firstRow="1" w:lastRow="0" w:firstColumn="1" w:lastColumn="0" w:noHBand="0" w:noVBand="1"/>
      </w:tblPr>
      <w:tblGrid>
        <w:gridCol w:w="10790"/>
      </w:tblGrid>
      <w:tr w:rsidR="009F19A8" w:rsidRPr="005732FC" w14:paraId="48F00EB0" w14:textId="77777777" w:rsidTr="009F19A8">
        <w:tc>
          <w:tcPr>
            <w:tcW w:w="5000" w:type="pct"/>
          </w:tcPr>
          <w:p w14:paraId="2CB222DC" w14:textId="37A4706F" w:rsidR="009F19A8" w:rsidRPr="005732FC" w:rsidRDefault="009F19A8" w:rsidP="005D2B3E">
            <w:pPr>
              <w:spacing w:line="259" w:lineRule="auto"/>
              <w:jc w:val="center"/>
              <w:rPr>
                <w:rFonts w:ascii="Arial" w:hAnsi="Arial" w:cs="Arial"/>
                <w:b/>
                <w:bCs/>
                <w:sz w:val="20"/>
                <w:szCs w:val="20"/>
              </w:rPr>
            </w:pPr>
            <w:r w:rsidRPr="005732FC">
              <w:rPr>
                <w:rFonts w:ascii="Arial" w:hAnsi="Arial" w:cs="Arial"/>
                <w:b/>
                <w:bCs/>
                <w:sz w:val="20"/>
                <w:szCs w:val="20"/>
              </w:rPr>
              <w:t>a) NOTAS DE GESTIÓN ADMINISTRATIVA</w:t>
            </w:r>
          </w:p>
        </w:tc>
      </w:tr>
    </w:tbl>
    <w:p w14:paraId="2709DE01" w14:textId="1564E796"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p>
    <w:p w14:paraId="40968709" w14:textId="1E3B3A3E" w:rsidR="00BA3347" w:rsidRPr="005732FC" w:rsidRDefault="00BA3347" w:rsidP="005D2B3E">
      <w:pPr>
        <w:pStyle w:val="Prrafodelista"/>
        <w:numPr>
          <w:ilvl w:val="0"/>
          <w:numId w:val="2"/>
        </w:numPr>
        <w:spacing w:after="0"/>
        <w:ind w:left="0" w:hanging="284"/>
        <w:jc w:val="both"/>
        <w:outlineLvl w:val="0"/>
        <w:rPr>
          <w:rFonts w:ascii="Arial" w:hAnsi="Arial" w:cs="Arial"/>
          <w:b/>
          <w:bCs/>
          <w:sz w:val="20"/>
          <w:szCs w:val="20"/>
        </w:rPr>
      </w:pPr>
      <w:r w:rsidRPr="005732FC">
        <w:rPr>
          <w:rFonts w:ascii="Arial" w:hAnsi="Arial" w:cs="Arial"/>
          <w:b/>
          <w:bCs/>
          <w:sz w:val="20"/>
          <w:szCs w:val="20"/>
        </w:rPr>
        <w:t>Autorización e Historia</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69C72BDC"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CFE3725" w14:textId="77777777" w:rsidR="00CD3330" w:rsidRPr="005732FC" w:rsidRDefault="00CD3330" w:rsidP="00CD3330">
      <w:pPr>
        <w:pStyle w:val="Ttulo2"/>
        <w:numPr>
          <w:ilvl w:val="0"/>
          <w:numId w:val="22"/>
        </w:numPr>
        <w:rPr>
          <w:rFonts w:ascii="Arial" w:hAnsi="Arial" w:cs="Arial"/>
          <w:b/>
          <w:bCs/>
          <w:sz w:val="20"/>
          <w:szCs w:val="20"/>
        </w:rPr>
      </w:pPr>
      <w:r w:rsidRPr="005732FC">
        <w:rPr>
          <w:rFonts w:ascii="Arial" w:hAnsi="Arial" w:cs="Arial"/>
          <w:b/>
          <w:bCs/>
          <w:sz w:val="20"/>
          <w:szCs w:val="20"/>
        </w:rPr>
        <w:t>Fecha de creación del Municipio:</w:t>
      </w:r>
    </w:p>
    <w:p w14:paraId="5765B6EA" w14:textId="77777777" w:rsidR="00CD3330" w:rsidRPr="005732FC" w:rsidRDefault="00CD3330" w:rsidP="00CD3330">
      <w:pPr>
        <w:pStyle w:val="Prrafodelista"/>
        <w:spacing w:after="0"/>
        <w:jc w:val="both"/>
        <w:rPr>
          <w:rFonts w:ascii="Arial" w:hAnsi="Arial" w:cs="Arial"/>
          <w:sz w:val="20"/>
          <w:szCs w:val="20"/>
        </w:rPr>
      </w:pPr>
    </w:p>
    <w:p w14:paraId="2D3BA8CA" w14:textId="4F966321" w:rsidR="00133028" w:rsidRPr="005732FC" w:rsidRDefault="00BA3347" w:rsidP="00CD3330">
      <w:pPr>
        <w:pStyle w:val="Prrafodelista"/>
        <w:spacing w:after="0"/>
        <w:ind w:left="0"/>
        <w:jc w:val="both"/>
        <w:rPr>
          <w:rFonts w:ascii="Arial" w:hAnsi="Arial" w:cs="Arial"/>
          <w:sz w:val="20"/>
          <w:szCs w:val="20"/>
        </w:rPr>
      </w:pPr>
      <w:r w:rsidRPr="005732FC">
        <w:rPr>
          <w:rFonts w:ascii="Arial" w:hAnsi="Arial" w:cs="Arial"/>
          <w:sz w:val="20"/>
          <w:szCs w:val="20"/>
        </w:rPr>
        <w:t xml:space="preserve">El Municipio de Benito Juárez fue creado mediante decreto del 12 de enero de 1975, por el que se promulga la Constitución Política del Estado Libre y Soberano de Quintana Roo, según el artículo 127 de ese precepto legal, el cual define los Municipios que integrarán al Estado de Quintana Roo, siendo uno de ellos el de Benito Juárez. </w:t>
      </w:r>
      <w:r w:rsidRPr="005732FC">
        <w:rPr>
          <w:rFonts w:ascii="Arial" w:hAnsi="Arial" w:cs="Arial"/>
          <w:sz w:val="20"/>
          <w:szCs w:val="20"/>
        </w:rPr>
        <w:tab/>
      </w:r>
    </w:p>
    <w:p w14:paraId="47F48FF5" w14:textId="77777777" w:rsidR="00CD3330" w:rsidRPr="005732FC" w:rsidRDefault="00CD3330" w:rsidP="00CD3330">
      <w:pPr>
        <w:pStyle w:val="Prrafodelista"/>
        <w:spacing w:after="0"/>
        <w:ind w:left="0"/>
        <w:jc w:val="both"/>
        <w:rPr>
          <w:rFonts w:ascii="Arial" w:hAnsi="Arial" w:cs="Arial"/>
          <w:sz w:val="20"/>
          <w:szCs w:val="20"/>
        </w:rPr>
      </w:pPr>
    </w:p>
    <w:p w14:paraId="03B10AC6" w14:textId="77777777" w:rsidR="00CD3330" w:rsidRPr="005732FC" w:rsidRDefault="00CD3330" w:rsidP="00CD3330">
      <w:pPr>
        <w:pStyle w:val="Ttulo2"/>
        <w:numPr>
          <w:ilvl w:val="0"/>
          <w:numId w:val="22"/>
        </w:numPr>
        <w:rPr>
          <w:rFonts w:ascii="Arial" w:hAnsi="Arial" w:cs="Arial"/>
          <w:b/>
          <w:bCs/>
          <w:sz w:val="20"/>
          <w:szCs w:val="20"/>
        </w:rPr>
      </w:pPr>
      <w:r w:rsidRPr="005732FC">
        <w:rPr>
          <w:rFonts w:ascii="Arial" w:hAnsi="Arial" w:cs="Arial"/>
          <w:b/>
          <w:bCs/>
          <w:sz w:val="20"/>
          <w:szCs w:val="20"/>
        </w:rPr>
        <w:t>Principales cambios en su estructura:</w:t>
      </w:r>
    </w:p>
    <w:p w14:paraId="5562346A" w14:textId="77777777" w:rsidR="00CD3330" w:rsidRPr="005732FC" w:rsidRDefault="00CD3330" w:rsidP="00CD3330">
      <w:pPr>
        <w:pStyle w:val="Prrafodelista"/>
        <w:spacing w:after="0"/>
        <w:jc w:val="both"/>
        <w:rPr>
          <w:rFonts w:ascii="Arial" w:hAnsi="Arial" w:cs="Arial"/>
          <w:sz w:val="20"/>
          <w:szCs w:val="20"/>
        </w:rPr>
      </w:pPr>
    </w:p>
    <w:p w14:paraId="02FC78E6" w14:textId="39F70AB2" w:rsidR="00D50658" w:rsidRPr="005732FC" w:rsidRDefault="00133028" w:rsidP="00CD3330">
      <w:pPr>
        <w:pStyle w:val="Prrafodelista"/>
        <w:spacing w:after="0"/>
        <w:ind w:left="0"/>
        <w:jc w:val="both"/>
        <w:rPr>
          <w:rFonts w:ascii="Arial" w:hAnsi="Arial" w:cs="Arial"/>
          <w:sz w:val="20"/>
          <w:szCs w:val="20"/>
        </w:rPr>
      </w:pPr>
      <w:r w:rsidRPr="005732FC">
        <w:rPr>
          <w:rFonts w:ascii="Arial" w:hAnsi="Arial" w:cs="Arial"/>
          <w:sz w:val="20"/>
          <w:szCs w:val="20"/>
        </w:rPr>
        <w:t xml:space="preserve">El Ayuntamiento del Municipio de Benito Juárez está integrado conforme a lo estipulado en el artículo 134 de la Constitución Política del Estado Libre y Soberano de Quintana Roo. Al </w:t>
      </w:r>
      <w:r w:rsidR="00E27BAF" w:rsidRPr="005732FC">
        <w:rPr>
          <w:rFonts w:ascii="Arial" w:hAnsi="Arial" w:cs="Arial"/>
          <w:sz w:val="20"/>
          <w:szCs w:val="20"/>
        </w:rPr>
        <w:t xml:space="preserve">término de este </w:t>
      </w:r>
      <w:r w:rsidRPr="005732FC">
        <w:rPr>
          <w:rFonts w:ascii="Arial" w:hAnsi="Arial" w:cs="Arial"/>
          <w:sz w:val="20"/>
          <w:szCs w:val="20"/>
        </w:rPr>
        <w:t>periodo, no ha presentado cambios en su estructura orgánica.</w:t>
      </w:r>
    </w:p>
    <w:p w14:paraId="7B07D48B" w14:textId="3149C530"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671D3D3" w14:textId="7E286EE6" w:rsidR="00BA3347" w:rsidRPr="005732FC" w:rsidRDefault="00BA3347" w:rsidP="005D2B3E">
      <w:pPr>
        <w:pStyle w:val="Prrafodelista"/>
        <w:numPr>
          <w:ilvl w:val="0"/>
          <w:numId w:val="2"/>
        </w:numPr>
        <w:spacing w:after="0"/>
        <w:ind w:left="0" w:hanging="284"/>
        <w:jc w:val="both"/>
        <w:outlineLvl w:val="0"/>
        <w:rPr>
          <w:rFonts w:ascii="Arial" w:hAnsi="Arial" w:cs="Arial"/>
          <w:b/>
          <w:bCs/>
          <w:sz w:val="20"/>
          <w:szCs w:val="20"/>
        </w:rPr>
      </w:pPr>
      <w:r w:rsidRPr="005732FC">
        <w:rPr>
          <w:rFonts w:ascii="Arial" w:hAnsi="Arial" w:cs="Arial"/>
          <w:b/>
          <w:bCs/>
          <w:sz w:val="20"/>
          <w:szCs w:val="20"/>
        </w:rPr>
        <w:t>Panorama Económico y Financiero</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07D84542"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78BC641" w14:textId="67EFD740"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El Municipio de Benito Juárez cuenta con actividades económicas como turismo, comercio y servicios, siendo el primero de ellos el más preponderante en su contribución económica</w:t>
      </w:r>
      <w:r w:rsidR="00FB2256" w:rsidRPr="005732FC">
        <w:rPr>
          <w:rFonts w:ascii="Arial" w:hAnsi="Arial" w:cs="Arial"/>
          <w:sz w:val="20"/>
          <w:szCs w:val="20"/>
        </w:rPr>
        <w:t>.</w:t>
      </w:r>
    </w:p>
    <w:p w14:paraId="1D6AA592" w14:textId="2014584A"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B2608BF" w14:textId="17AEC421"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Se ha logrado mantener unas finanzas públicas sanas, aplicando criterios de racionalidad, austeridad y disciplina en la administración de los recursos; además, se implementaron estrategias para cubrir todos los compromisos y obligaciones del Municipio en beneficio de la ciudadanía y sin la contratación de nuevos empréstitos tanto a corto como a largo plazo.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D2A34DE" w14:textId="7A3883E2" w:rsidR="00BA3347" w:rsidRPr="005732FC" w:rsidRDefault="00BA3347" w:rsidP="005D2B3E">
      <w:pPr>
        <w:pStyle w:val="Prrafodelista"/>
        <w:numPr>
          <w:ilvl w:val="0"/>
          <w:numId w:val="2"/>
        </w:numPr>
        <w:spacing w:after="0"/>
        <w:ind w:left="0" w:hanging="284"/>
        <w:jc w:val="both"/>
        <w:outlineLvl w:val="0"/>
        <w:rPr>
          <w:rFonts w:ascii="Arial" w:hAnsi="Arial" w:cs="Arial"/>
          <w:b/>
          <w:bCs/>
          <w:sz w:val="20"/>
          <w:szCs w:val="20"/>
        </w:rPr>
      </w:pPr>
      <w:r w:rsidRPr="005732FC">
        <w:rPr>
          <w:rFonts w:ascii="Arial" w:hAnsi="Arial" w:cs="Arial"/>
          <w:b/>
          <w:bCs/>
          <w:sz w:val="20"/>
          <w:szCs w:val="20"/>
        </w:rPr>
        <w:t>Organización y Objeto Social</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673B0C4D"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F53D624" w14:textId="21CD22F8" w:rsidR="00BA3347" w:rsidRPr="005732FC" w:rsidRDefault="00BA3347" w:rsidP="00D62FED">
      <w:pPr>
        <w:pStyle w:val="Ttulo2"/>
        <w:numPr>
          <w:ilvl w:val="0"/>
          <w:numId w:val="28"/>
        </w:numPr>
        <w:rPr>
          <w:rFonts w:ascii="Arial" w:hAnsi="Arial" w:cs="Arial"/>
          <w:b/>
          <w:bCs/>
          <w:sz w:val="20"/>
          <w:szCs w:val="20"/>
        </w:rPr>
      </w:pPr>
      <w:r w:rsidRPr="005732FC">
        <w:rPr>
          <w:rFonts w:ascii="Arial" w:hAnsi="Arial" w:cs="Arial"/>
          <w:b/>
          <w:bCs/>
          <w:sz w:val="20"/>
          <w:szCs w:val="20"/>
        </w:rPr>
        <w:t>Objeto Social del Municipio.</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2E4AF9B2" w14:textId="77777777" w:rsidR="00BA3347" w:rsidRPr="005732FC" w:rsidRDefault="00BA3347" w:rsidP="005D2B3E">
      <w:pPr>
        <w:spacing w:after="0"/>
        <w:ind w:left="360"/>
        <w:jc w:val="both"/>
        <w:rPr>
          <w:rFonts w:ascii="Arial" w:hAnsi="Arial" w:cs="Arial"/>
          <w:b/>
          <w:bCs/>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FEFD716" w14:textId="5CFF6444"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De conformidad con el artículo 3 de la Ley de los Municipios del Estado de Quintana Roo, esta entidad será gobernada por un Ayuntamiento al que le corresponde la representación política y jurídica del Municipio, la administración de los asuntos municipales y el cuidado de los intereses de la comunidad dentro de su circunscripción territorial.</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F1B4B79" w14:textId="659DFD65" w:rsidR="00BA3347" w:rsidRPr="005732FC" w:rsidRDefault="00BA3347" w:rsidP="00D62FED">
      <w:pPr>
        <w:pStyle w:val="Ttulo2"/>
        <w:numPr>
          <w:ilvl w:val="0"/>
          <w:numId w:val="28"/>
        </w:numPr>
        <w:rPr>
          <w:rFonts w:ascii="Arial" w:hAnsi="Arial" w:cs="Arial"/>
          <w:b/>
          <w:bCs/>
          <w:sz w:val="20"/>
          <w:szCs w:val="20"/>
        </w:rPr>
      </w:pPr>
      <w:r w:rsidRPr="005732FC">
        <w:rPr>
          <w:rFonts w:ascii="Arial" w:hAnsi="Arial" w:cs="Arial"/>
          <w:b/>
          <w:bCs/>
          <w:sz w:val="20"/>
          <w:szCs w:val="20"/>
        </w:rPr>
        <w:t>Principal Actividad.</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152B2AB0" w14:textId="4CB664B0"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1C84DC7" w14:textId="342FD538"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Los servicios públicos que se proporcionan en MBJ son los siguientes: Alumbrado Público, Limpia y Recolección de Basura, Mercados y Centrales de Abasto, Rastro, Calles, Parques y Jardines, Nomenclatura, Alcantarillado y drenaje, entre otro</w:t>
      </w:r>
      <w:r w:rsidR="002248A5" w:rsidRPr="005732FC">
        <w:rPr>
          <w:rFonts w:ascii="Arial" w:hAnsi="Arial" w:cs="Arial"/>
          <w:sz w:val="20"/>
          <w:szCs w:val="20"/>
        </w:rPr>
        <w:t>s</w:t>
      </w:r>
      <w:r w:rsidR="003E441C" w:rsidRPr="005732FC">
        <w:rPr>
          <w:rFonts w:ascii="Arial" w:hAnsi="Arial" w:cs="Arial"/>
          <w:sz w:val="20"/>
          <w:szCs w:val="20"/>
        </w:rPr>
        <w:t>.</w:t>
      </w:r>
    </w:p>
    <w:p w14:paraId="3BB6559E" w14:textId="77777777" w:rsidR="00E95E70" w:rsidRPr="005732FC" w:rsidRDefault="00E95E70" w:rsidP="005D2B3E">
      <w:pPr>
        <w:spacing w:after="0"/>
        <w:jc w:val="both"/>
        <w:rPr>
          <w:rFonts w:ascii="Arial" w:hAnsi="Arial" w:cs="Arial"/>
          <w:sz w:val="20"/>
          <w:szCs w:val="20"/>
        </w:rPr>
      </w:pPr>
    </w:p>
    <w:p w14:paraId="1BB282EA" w14:textId="58BC7C6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lastRenderedPageBreak/>
        <w:t>En el ámbito de su respectiva jurisdicción concurrirá con la autoridad estatal y federal de acuerdo con lo que establezcan las leyes respectivas, en las siguientes materias: Salud, Educación, Población, Preservación y promoción de los derechos y desarrollo integral, Patrimonio y promoción cultural, Regulación y fomento al deporte, Protección civil, Turismo, Protección al medio ambiente, Planeación del desarrollo regional, Creación y administración de reservas territoriales, Desarrollo económico, en todas sus vertientes y Desarrollo social.</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A6024F6" w14:textId="7807D6F0" w:rsidR="00BA3347" w:rsidRPr="005732FC" w:rsidRDefault="00BA3347" w:rsidP="00D62FED">
      <w:pPr>
        <w:spacing w:after="0"/>
        <w:ind w:left="36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417E92FF" w14:textId="17F7CBCE" w:rsidR="00CD3330" w:rsidRPr="005732FC" w:rsidRDefault="00CD3330" w:rsidP="00D62FED">
      <w:pPr>
        <w:pStyle w:val="Prrafodelista"/>
        <w:numPr>
          <w:ilvl w:val="0"/>
          <w:numId w:val="28"/>
        </w:numPr>
        <w:spacing w:after="0"/>
        <w:jc w:val="both"/>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color w:val="2F5496" w:themeColor="accent1" w:themeShade="BF"/>
          <w:sz w:val="20"/>
          <w:szCs w:val="20"/>
        </w:rPr>
        <w:t>Ejercicio fiscal.</w:t>
      </w:r>
    </w:p>
    <w:p w14:paraId="2FE6BA1C" w14:textId="77777777" w:rsidR="00CD3330" w:rsidRPr="005732FC" w:rsidRDefault="00CD3330" w:rsidP="005D2B3E">
      <w:pPr>
        <w:spacing w:after="0"/>
        <w:jc w:val="both"/>
        <w:rPr>
          <w:rFonts w:ascii="Arial" w:hAnsi="Arial" w:cs="Arial"/>
          <w:sz w:val="20"/>
          <w:szCs w:val="20"/>
        </w:rPr>
      </w:pPr>
    </w:p>
    <w:p w14:paraId="66BDE030" w14:textId="20B7417D"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El periodo fiscal que se presenta en estas notas corresponde del 1</w:t>
      </w:r>
      <w:r w:rsidR="003037C6" w:rsidRPr="005732FC">
        <w:rPr>
          <w:rFonts w:ascii="Arial" w:hAnsi="Arial" w:cs="Arial"/>
          <w:sz w:val="20"/>
          <w:szCs w:val="20"/>
        </w:rPr>
        <w:t xml:space="preserve"> de enero</w:t>
      </w:r>
      <w:r w:rsidRPr="005732FC">
        <w:rPr>
          <w:rFonts w:ascii="Arial" w:hAnsi="Arial" w:cs="Arial"/>
          <w:sz w:val="20"/>
          <w:szCs w:val="20"/>
        </w:rPr>
        <w:t xml:space="preserve"> </w:t>
      </w:r>
      <w:r w:rsidR="009E00EA" w:rsidRPr="005732FC">
        <w:rPr>
          <w:rFonts w:ascii="Arial" w:hAnsi="Arial" w:cs="Arial"/>
          <w:sz w:val="20"/>
          <w:szCs w:val="20"/>
        </w:rPr>
        <w:t xml:space="preserve">al </w:t>
      </w:r>
      <w:r w:rsidR="00E75BEB" w:rsidRPr="005732FC">
        <w:rPr>
          <w:rFonts w:ascii="Arial" w:hAnsi="Arial" w:cs="Arial"/>
          <w:sz w:val="20"/>
          <w:szCs w:val="20"/>
        </w:rPr>
        <w:t>3</w:t>
      </w:r>
      <w:r w:rsidR="00CC1C41" w:rsidRPr="005732FC">
        <w:rPr>
          <w:rFonts w:ascii="Arial" w:hAnsi="Arial" w:cs="Arial"/>
          <w:sz w:val="20"/>
          <w:szCs w:val="20"/>
        </w:rPr>
        <w:t>0</w:t>
      </w:r>
      <w:r w:rsidR="009E00EA" w:rsidRPr="005732FC">
        <w:rPr>
          <w:rFonts w:ascii="Arial" w:hAnsi="Arial" w:cs="Arial"/>
          <w:sz w:val="20"/>
          <w:szCs w:val="20"/>
        </w:rPr>
        <w:t xml:space="preserve"> </w:t>
      </w:r>
      <w:r w:rsidRPr="005732FC">
        <w:rPr>
          <w:rFonts w:ascii="Arial" w:hAnsi="Arial" w:cs="Arial"/>
          <w:sz w:val="20"/>
          <w:szCs w:val="20"/>
        </w:rPr>
        <w:t xml:space="preserve">de </w:t>
      </w:r>
      <w:r w:rsidR="00CC1C41" w:rsidRPr="005732FC">
        <w:rPr>
          <w:rFonts w:ascii="Arial" w:hAnsi="Arial" w:cs="Arial"/>
          <w:sz w:val="20"/>
          <w:szCs w:val="20"/>
        </w:rPr>
        <w:t>junio</w:t>
      </w:r>
      <w:r w:rsidRPr="005732FC">
        <w:rPr>
          <w:rFonts w:ascii="Arial" w:hAnsi="Arial" w:cs="Arial"/>
          <w:sz w:val="20"/>
          <w:szCs w:val="20"/>
        </w:rPr>
        <w:t xml:space="preserve"> del 202</w:t>
      </w:r>
      <w:r w:rsidR="009E00EA" w:rsidRPr="005732FC">
        <w:rPr>
          <w:rFonts w:ascii="Arial" w:hAnsi="Arial" w:cs="Arial"/>
          <w:sz w:val="20"/>
          <w:szCs w:val="20"/>
        </w:rPr>
        <w:t>5</w:t>
      </w:r>
      <w:r w:rsidRPr="005732FC">
        <w:rPr>
          <w:rFonts w:ascii="Arial" w:hAnsi="Arial" w:cs="Arial"/>
          <w:sz w:val="20"/>
          <w:szCs w:val="20"/>
        </w:rPr>
        <w:t>.</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D4E7013" w14:textId="6119224C" w:rsidR="00BA3347" w:rsidRPr="005732FC" w:rsidRDefault="00BA3347" w:rsidP="00D62FED">
      <w:pPr>
        <w:pStyle w:val="Ttulo2"/>
        <w:numPr>
          <w:ilvl w:val="0"/>
          <w:numId w:val="28"/>
        </w:numPr>
        <w:rPr>
          <w:rFonts w:ascii="Arial" w:hAnsi="Arial" w:cs="Arial"/>
          <w:b/>
          <w:bCs/>
          <w:sz w:val="20"/>
          <w:szCs w:val="20"/>
        </w:rPr>
      </w:pPr>
      <w:r w:rsidRPr="005732FC">
        <w:rPr>
          <w:rFonts w:ascii="Arial" w:hAnsi="Arial" w:cs="Arial"/>
          <w:b/>
          <w:bCs/>
          <w:sz w:val="20"/>
          <w:szCs w:val="20"/>
        </w:rPr>
        <w:t>Régimen Jurídico.</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652E4C30" w14:textId="77777777" w:rsidR="00BA3347" w:rsidRPr="005732FC" w:rsidRDefault="00BA3347" w:rsidP="005D2B3E">
      <w:pPr>
        <w:spacing w:after="0"/>
        <w:ind w:left="36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C2DAB9F" w14:textId="01A8DF16"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Como se establece en los artículos 1 y 2 de la Ley de los Municipios del Estado de Quintana Roo, el Municipio de Benito Juárez (MBJ), es una institución gubernamental de carácter público, constituida de personas, establecida en el territorio que le señala la Constitución Política del Estado, con personalidad jurídica y patrimonio propios, autónomo en su gobierno interior y libre en la administración de su hacienda.</w:t>
      </w:r>
    </w:p>
    <w:p w14:paraId="3F1DD8F7" w14:textId="77777777" w:rsidR="00BA3347" w:rsidRPr="005732FC" w:rsidRDefault="00BA3347" w:rsidP="005D2B3E">
      <w:pPr>
        <w:spacing w:after="0"/>
        <w:ind w:left="360"/>
        <w:jc w:val="both"/>
        <w:rPr>
          <w:rFonts w:ascii="Arial" w:hAnsi="Arial" w:cs="Arial"/>
          <w:sz w:val="20"/>
          <w:szCs w:val="20"/>
        </w:rPr>
      </w:pPr>
    </w:p>
    <w:p w14:paraId="209023C0" w14:textId="1559DFF8"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Los Municipios son la base de la división territorial y de la organización política y administrativa del Estados de Quintana Roo; la Autonomía del Municipio Libre, se expresa en la facultad de gobernar y administrar por sí mismo los asuntos propios de su comunidad, en el ámbito de la competencia que le señala la Constitución Política de los Estados Unidos Mexicanos, la Constitución del Estado y las leyes que conforme a ellas se expidan.</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4B83C37" w14:textId="3CC4429B" w:rsidR="00BA3347" w:rsidRPr="005732FC" w:rsidRDefault="00BA3347" w:rsidP="00D62FED">
      <w:pPr>
        <w:pStyle w:val="Ttulo2"/>
        <w:numPr>
          <w:ilvl w:val="0"/>
          <w:numId w:val="28"/>
        </w:numPr>
        <w:rPr>
          <w:rFonts w:ascii="Arial" w:hAnsi="Arial" w:cs="Arial"/>
          <w:b/>
          <w:bCs/>
          <w:sz w:val="20"/>
          <w:szCs w:val="20"/>
        </w:rPr>
      </w:pPr>
      <w:r w:rsidRPr="005732FC">
        <w:rPr>
          <w:rFonts w:ascii="Arial" w:hAnsi="Arial" w:cs="Arial"/>
          <w:b/>
          <w:bCs/>
          <w:sz w:val="20"/>
          <w:szCs w:val="20"/>
        </w:rPr>
        <w:t>Consideraciones Fiscales.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3AEADE0D" w14:textId="77777777" w:rsidR="00BA3347" w:rsidRPr="005732FC" w:rsidRDefault="00BA3347" w:rsidP="005D2B3E">
      <w:pPr>
        <w:spacing w:after="0"/>
        <w:ind w:left="36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F556AEB" w14:textId="76D9E38E"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De conformidad con la Ley del Impuesto Sobre la Renta en su Artículo 79 del Título III Fracción XXIII, señala que el Municipio no es contribuyente del Impuesto Sobre la Renta; así también el Artículo 96, del Título IV Capítulo I de la Ley del ISR establece la obligación de retener y enterar el impuesto correspondiente en el caso de pagos de remuneraciones al personal; por otra parte está obligado a dar cumplimiento a lo dispuesto por el Artículo 106 Párrafo Quinto del Capítulo II Sección I de la Ley del ISR en el caso de pagos de prestaciones por concepto de Servicios Profesionales; también está obligado a la retención del ISR en los términos del Artículo 116 Párrafo Quinto del Capítulo III de la Ley del ISR; así también deberá apegarse y cumplir todos los lineamientos normativos que establecen las diversas Leyes Fiscales en cuanto a declaraciones informativas y reunir los requisitos y comprobantes fiscales que las Leyes dispongan.</w:t>
      </w:r>
    </w:p>
    <w:p w14:paraId="6AF39D2C" w14:textId="77777777" w:rsidR="00BA3347" w:rsidRPr="005732FC" w:rsidRDefault="00BA3347" w:rsidP="005D2B3E">
      <w:pPr>
        <w:spacing w:after="0"/>
        <w:ind w:left="360"/>
        <w:jc w:val="both"/>
        <w:rPr>
          <w:rFonts w:ascii="Arial" w:hAnsi="Arial" w:cs="Arial"/>
          <w:sz w:val="20"/>
          <w:szCs w:val="20"/>
        </w:rPr>
      </w:pPr>
    </w:p>
    <w:p w14:paraId="1EE19F17"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De igual forma, según el artículo 3º de la Ley del Impuesto al Valor Agregado, la Federación, el Distrito Federal, los Estados, los Municipios, los organismos descentralizados, las instituciones y asociaciones de beneficencia privada, las sociedades cooperativas o cualquiera otra persona, aunque conforme a otras leyes o decretos no causen impuestos federales o estén exentos de ellos, deberán aceptar la traslación a que se refiere el artículo primero y, en su caso, pagar el impuesto al valor agregado y trasladarlo, de acuerdo con los preceptos de esta Ley.</w:t>
      </w:r>
    </w:p>
    <w:p w14:paraId="50A103CE" w14:textId="77777777" w:rsidR="00BA3347" w:rsidRPr="005732FC" w:rsidRDefault="00BA3347" w:rsidP="005D2B3E">
      <w:pPr>
        <w:spacing w:after="0"/>
        <w:ind w:left="360"/>
        <w:jc w:val="both"/>
        <w:rPr>
          <w:rFonts w:ascii="Arial" w:hAnsi="Arial" w:cs="Arial"/>
          <w:sz w:val="20"/>
          <w:szCs w:val="20"/>
        </w:rPr>
      </w:pPr>
    </w:p>
    <w:p w14:paraId="4C1BD67E"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La Federación, el Distrito Federal, los Estados, los Municipios, así como sus organismos descentralizados y las instituciones públicas de seguridad social, tendrán la obligación de pagar el impuesto únicamente por los actos que realicen que no den lugar al pago de derechos o aprovechamientos, y sólo podrán acreditar el impuesto al valor agregado que les haya sido trasladado en las erogaciones o el pagado en la importación, que se identifique exclusivamente con las actividades por las que estén obligados al pago del impuesto establecido en esta Ley o les sea aplicable la tasa del 0%. Para el acreditamiento de referencia se deberán cumplir con los requisitos previstos en esta Ley.</w:t>
      </w:r>
    </w:p>
    <w:p w14:paraId="630085C0" w14:textId="77777777" w:rsidR="00BA3347" w:rsidRPr="005732FC" w:rsidRDefault="00BA3347" w:rsidP="005D2B3E">
      <w:pPr>
        <w:spacing w:after="0"/>
        <w:ind w:left="360"/>
        <w:jc w:val="both"/>
        <w:rPr>
          <w:rFonts w:ascii="Arial" w:hAnsi="Arial" w:cs="Arial"/>
          <w:sz w:val="20"/>
          <w:szCs w:val="20"/>
        </w:rPr>
      </w:pPr>
    </w:p>
    <w:p w14:paraId="2617F8C2" w14:textId="1FFBC71C"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 xml:space="preserve">La Federación y sus organismos descentralizados efectuarán igualmente la retención en los términos del artículo 1o.-A de esta Ley cuando adquieran bienes, los usen o gocen temporalmente o reciban servicios, de personas físicas, o de residentes en el extranjero sin establecimiento permanente en el país en el supuesto previsto en la fracción III del mismo artículo. También se efectuará la retención en los términos del artículo 1o.-A de esta Ley, en los casos en los que la Federación y sus organismos descentralizados reciban servicios de autotransporte terrestre de bienes prestados por </w:t>
      </w:r>
      <w:r w:rsidRPr="005732FC">
        <w:rPr>
          <w:rFonts w:ascii="Arial" w:hAnsi="Arial" w:cs="Arial"/>
          <w:sz w:val="20"/>
          <w:szCs w:val="20"/>
        </w:rPr>
        <w:lastRenderedPageBreak/>
        <w:t>personas morales. Los Estados, el Distrito Federal y los Municipios, así como sus organismos descentralizados no efectuarán la retención a que se refiere este párrafo.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0AEF46F" w14:textId="77777777" w:rsidR="00BA3347" w:rsidRPr="005732FC" w:rsidRDefault="00BA3347" w:rsidP="005D2B3E">
      <w:pPr>
        <w:spacing w:after="0"/>
        <w:ind w:left="36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2E40484" w14:textId="59CA2812" w:rsidR="00BA3347" w:rsidRPr="005732FC" w:rsidRDefault="00BA3347" w:rsidP="00D62FED">
      <w:pPr>
        <w:pStyle w:val="Ttulo2"/>
        <w:numPr>
          <w:ilvl w:val="0"/>
          <w:numId w:val="28"/>
        </w:numPr>
        <w:rPr>
          <w:rFonts w:ascii="Arial" w:hAnsi="Arial" w:cs="Arial"/>
          <w:b/>
          <w:bCs/>
          <w:sz w:val="20"/>
          <w:szCs w:val="20"/>
        </w:rPr>
      </w:pPr>
      <w:r w:rsidRPr="005732FC">
        <w:rPr>
          <w:rFonts w:ascii="Arial" w:hAnsi="Arial" w:cs="Arial"/>
          <w:b/>
          <w:bCs/>
          <w:sz w:val="20"/>
          <w:szCs w:val="20"/>
        </w:rPr>
        <w:t>Estructura Organizacional Básica.</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108E0CA8" w14:textId="77777777" w:rsidR="00BA3347" w:rsidRPr="005732FC" w:rsidRDefault="00BA3347" w:rsidP="005D2B3E">
      <w:pPr>
        <w:spacing w:after="0"/>
        <w:ind w:left="36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C031DEA" w14:textId="77777777" w:rsidR="00D62FED" w:rsidRPr="005732FC" w:rsidRDefault="00BA3347" w:rsidP="005D2B3E">
      <w:pPr>
        <w:spacing w:after="0"/>
        <w:jc w:val="both"/>
        <w:rPr>
          <w:rFonts w:ascii="Arial" w:hAnsi="Arial" w:cs="Arial"/>
          <w:sz w:val="20"/>
          <w:szCs w:val="20"/>
        </w:rPr>
      </w:pPr>
      <w:r w:rsidRPr="005732FC">
        <w:rPr>
          <w:rFonts w:ascii="Arial" w:hAnsi="Arial" w:cs="Arial"/>
          <w:sz w:val="20"/>
          <w:szCs w:val="20"/>
        </w:rPr>
        <w:t>De conformidad con el artículo 3 de la Ley de los Municipios del Estado de Quintana Roo, la entidad será gobernada por un Ayuntamiento al que le corresponde la representación política y jurídica del Municipio.</w:t>
      </w:r>
    </w:p>
    <w:p w14:paraId="26CF229B" w14:textId="77777777" w:rsidR="00D62FED" w:rsidRPr="005732FC" w:rsidRDefault="00D62FED" w:rsidP="005D2B3E">
      <w:pPr>
        <w:spacing w:after="0"/>
        <w:jc w:val="both"/>
        <w:rPr>
          <w:rFonts w:ascii="Arial" w:hAnsi="Arial" w:cs="Arial"/>
          <w:sz w:val="20"/>
          <w:szCs w:val="20"/>
        </w:rPr>
      </w:pPr>
    </w:p>
    <w:p w14:paraId="56FA574F" w14:textId="4FC462E8" w:rsidR="009A6F87" w:rsidRPr="005732FC" w:rsidRDefault="009A6F87" w:rsidP="00950BE7">
      <w:pPr>
        <w:pStyle w:val="Prrafodelista"/>
        <w:keepNext/>
        <w:keepLines/>
        <w:numPr>
          <w:ilvl w:val="0"/>
          <w:numId w:val="28"/>
        </w:numPr>
        <w:spacing w:before="40" w:after="0"/>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color w:val="2F5496" w:themeColor="accent1" w:themeShade="BF"/>
          <w:sz w:val="20"/>
          <w:szCs w:val="20"/>
        </w:rPr>
        <w:t>Fideicomisos, mandatos y análogos de los cuales es fideicomitente o fideicomisario.</w:t>
      </w:r>
    </w:p>
    <w:p w14:paraId="5CF4628A" w14:textId="77777777" w:rsidR="009A6F87" w:rsidRPr="005732FC" w:rsidRDefault="009A6F87" w:rsidP="009A6F87">
      <w:pPr>
        <w:spacing w:after="0"/>
        <w:jc w:val="both"/>
        <w:rPr>
          <w:rFonts w:ascii="Arial" w:hAnsi="Arial" w:cs="Arial"/>
          <w:sz w:val="20"/>
          <w:szCs w:val="20"/>
        </w:rPr>
      </w:pP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675371A" w14:textId="77777777" w:rsidR="009A6F87" w:rsidRPr="005732FC" w:rsidRDefault="009A6F87" w:rsidP="009A6F87">
      <w:pPr>
        <w:spacing w:after="0"/>
        <w:jc w:val="both"/>
        <w:rPr>
          <w:rFonts w:ascii="Arial" w:hAnsi="Arial" w:cs="Arial"/>
          <w:sz w:val="20"/>
          <w:szCs w:val="20"/>
        </w:rPr>
      </w:pPr>
      <w:r w:rsidRPr="005732FC">
        <w:rPr>
          <w:rFonts w:ascii="Arial" w:hAnsi="Arial" w:cs="Arial"/>
          <w:sz w:val="20"/>
          <w:szCs w:val="20"/>
        </w:rPr>
        <w:t>Fideicomiso F/2001830 de Banco Santander, S. A., creado para realizar el pago de tres créditos de la Deuda Pública que el Municipio de Benito Juárez (Fideicomitente) celebró con BANOBRAS, los cuales ya fueron liquidados y que actualmente sirve como medio para la transferencia de los recursos de Participaciones al Fideicomiso F/2004041.</w:t>
      </w:r>
    </w:p>
    <w:p w14:paraId="79CFBAA8" w14:textId="77777777" w:rsidR="009A6F87" w:rsidRPr="005732FC" w:rsidRDefault="009A6F87" w:rsidP="009A6F87">
      <w:pPr>
        <w:spacing w:after="0"/>
        <w:jc w:val="both"/>
        <w:rPr>
          <w:rFonts w:ascii="Arial" w:hAnsi="Arial" w:cs="Arial"/>
          <w:sz w:val="20"/>
          <w:szCs w:val="20"/>
        </w:rPr>
      </w:pPr>
      <w:r w:rsidRPr="005732FC">
        <w:rPr>
          <w:rFonts w:ascii="Arial" w:hAnsi="Arial" w:cs="Arial"/>
          <w:sz w:val="20"/>
          <w:szCs w:val="20"/>
        </w:rPr>
        <w:t xml:space="preserve">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138B38C" w14:textId="77777777" w:rsidR="009A6F87" w:rsidRPr="005732FC" w:rsidRDefault="009A6F87" w:rsidP="009A6F87">
      <w:pPr>
        <w:spacing w:after="0"/>
        <w:jc w:val="both"/>
        <w:rPr>
          <w:rFonts w:ascii="Arial" w:hAnsi="Arial" w:cs="Arial"/>
          <w:sz w:val="20"/>
          <w:szCs w:val="20"/>
        </w:rPr>
      </w:pPr>
      <w:r w:rsidRPr="005732FC">
        <w:rPr>
          <w:rFonts w:ascii="Arial" w:hAnsi="Arial" w:cs="Arial"/>
          <w:sz w:val="20"/>
          <w:szCs w:val="20"/>
        </w:rPr>
        <w:t>Fideicomiso F/2004041 de Banco Santander (México), S. A., creado como garantía y fuente de pago de las obligaciones contenidas en el Contrato de Concesión para la Prestación del Servicio de Alumbrado por un plazo de 15 años, según lo establecido en las cláusulas del Contrato de Fideicomiso Irrevocable de Administración y Medio de Pago Número 2004041–0 firmado con fecha 06 de abril de 2018, en donde el Municipio de Benito Juárez es Fideicomitente y Fideicomisario en Segundo Lugar.</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74CC6B7" w14:textId="77777777" w:rsidR="009A6F87" w:rsidRPr="005732FC" w:rsidRDefault="009A6F87" w:rsidP="009A6F87">
      <w:pPr>
        <w:spacing w:after="0"/>
        <w:jc w:val="both"/>
        <w:rPr>
          <w:rFonts w:ascii="Arial" w:hAnsi="Arial" w:cs="Arial"/>
          <w:sz w:val="20"/>
          <w:szCs w:val="20"/>
        </w:rPr>
      </w:pPr>
    </w:p>
    <w:p w14:paraId="077057EA" w14:textId="77777777" w:rsidR="009A6F87" w:rsidRPr="005732FC" w:rsidRDefault="009A6F87" w:rsidP="009A6F87">
      <w:pPr>
        <w:spacing w:after="0"/>
        <w:jc w:val="both"/>
        <w:rPr>
          <w:rFonts w:ascii="Arial" w:hAnsi="Arial" w:cs="Arial"/>
          <w:sz w:val="20"/>
          <w:szCs w:val="20"/>
        </w:rPr>
      </w:pPr>
      <w:r w:rsidRPr="005732FC">
        <w:rPr>
          <w:rFonts w:ascii="Arial" w:hAnsi="Arial" w:cs="Arial"/>
          <w:sz w:val="20"/>
          <w:szCs w:val="20"/>
        </w:rPr>
        <w:t>Fideicomiso F/410695-1 de BBVA Bancomer, S. A., fue creado mediante acuerdo 18-21/075 emitido en la novena sesión ordinaria del Ayuntamiento del Municipio de Benito Juárez (Fideicomitente y Fideicomisario en Primer Lugar), del Estado de Quintana Roo, de fecha 24 de enero de 2019, en su quinto punto del orden del día. La finalidad es administrar el total de los recursos públicos provenientes del pago del derecho de saneamiento ambiental.</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BE96207" w14:textId="77777777" w:rsidR="009A6F87" w:rsidRPr="005732FC" w:rsidRDefault="009A6F87" w:rsidP="009A6F87">
      <w:pPr>
        <w:spacing w:after="0"/>
        <w:jc w:val="both"/>
        <w:rPr>
          <w:rFonts w:ascii="Arial" w:hAnsi="Arial" w:cs="Arial"/>
          <w:sz w:val="20"/>
          <w:szCs w:val="20"/>
        </w:rPr>
      </w:pPr>
    </w:p>
    <w:p w14:paraId="4362A552" w14:textId="77777777" w:rsidR="009A6F87" w:rsidRPr="005732FC" w:rsidRDefault="009A6F87" w:rsidP="009A6F87">
      <w:pPr>
        <w:spacing w:after="0"/>
        <w:jc w:val="both"/>
        <w:rPr>
          <w:rFonts w:ascii="Arial" w:hAnsi="Arial" w:cs="Arial"/>
          <w:sz w:val="20"/>
          <w:szCs w:val="20"/>
        </w:rPr>
      </w:pPr>
      <w:r w:rsidRPr="005732FC">
        <w:rPr>
          <w:rFonts w:ascii="Arial" w:hAnsi="Arial" w:cs="Arial"/>
          <w:sz w:val="20"/>
          <w:szCs w:val="20"/>
        </w:rPr>
        <w:t xml:space="preserve">Fideicomiso F/410695-1, a través del Quinto Punto del orden de día de la Décima Sesión Ordinaria, de fecha 03 de febrero de 2022, el Honorable Ayuntamiento Constitucional del Municipio de Benito Juárez, Estado de Quintana Roo, aprobó la suscripción del convenio modificatorio del Contrato de Fideicomiso de Administración y Pago, con el objetivo de adecuar y actualizar los términos y condiciones en los que ha de llevarse a cabo la administración y pago de los recursos que se generan por concepto del derecho de saneamiento ambiental, respecto de los recursos que serán transferidos al Fideicomiso para el Fortalecimiento del Desempeño en Materia de Seguridad Pública del Municipio de Benito Juárez, correspondiente al 4% de los recursos provenientes del pago del Derecho de Saneamiento Ambiental, para efectos de transparentar la procedencia de los recursos que ingresan a las cuentas de los fideicomisos es necesario establecer su fuente de ingreso, por lo que, con esta modificación se aportan los elementos necesarios para evidenciar la procedencia lícita de los recursos que se ingresarán al Fideicomiso para el Fortalecimiento del Desempeño en Materia de Seguridad Pública del Municipio de Fideicomiso Benito Juárez.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A6D2184" w14:textId="77777777" w:rsidR="009A6F87" w:rsidRPr="005732FC" w:rsidRDefault="009A6F87" w:rsidP="009A6F87">
      <w:pPr>
        <w:spacing w:after="0"/>
        <w:jc w:val="both"/>
        <w:rPr>
          <w:rFonts w:ascii="Arial" w:hAnsi="Arial" w:cs="Arial"/>
          <w:sz w:val="20"/>
          <w:szCs w:val="20"/>
        </w:rPr>
      </w:pPr>
    </w:p>
    <w:p w14:paraId="07AB9FEB" w14:textId="77777777" w:rsidR="009A6F87" w:rsidRPr="005732FC" w:rsidRDefault="009A6F87" w:rsidP="009A6F87">
      <w:pPr>
        <w:spacing w:after="0"/>
        <w:jc w:val="both"/>
        <w:rPr>
          <w:rFonts w:ascii="Arial" w:hAnsi="Arial" w:cs="Arial"/>
          <w:sz w:val="20"/>
          <w:szCs w:val="20"/>
        </w:rPr>
      </w:pPr>
      <w:r w:rsidRPr="005732FC">
        <w:rPr>
          <w:rFonts w:ascii="Arial" w:hAnsi="Arial" w:cs="Arial"/>
          <w:sz w:val="20"/>
          <w:szCs w:val="20"/>
        </w:rPr>
        <w:t>Fideicomiso F/4109047 de BBVA Bancomer S. A. (Fiduciario), creado para realizar el pago de la Deuda Pública que el Municipio de Benito Juárez (Fideicomitente o Acreditante) tiene con las instituciones de crédito BBVA Bancomer, S. A. (Fideicomisario en Primer Lugar) y Banco Azteca, S. A. (Fideicomisario en Primer Lugar) correspondientes a los créditos 9884444367 y 960500528 respectivamente, y en el que se mantienen dos fondos reserva que deberán contar con recursos en todo momento durante la vigencia de los créditos equivalentes a cuando menos el pago de 2 (DOS) meses del servicio de la deuda, incluida la amortización del capital y los intereses sobre el saldo insoluto, según lo establecen las cláusulas del contrato de deuda pública.</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E22C17A" w14:textId="77777777" w:rsidR="009A6F87" w:rsidRPr="005732FC" w:rsidRDefault="009A6F87" w:rsidP="009A6F87">
      <w:pPr>
        <w:spacing w:after="0"/>
        <w:jc w:val="both"/>
        <w:rPr>
          <w:rFonts w:ascii="Arial" w:hAnsi="Arial" w:cs="Arial"/>
          <w:sz w:val="20"/>
          <w:szCs w:val="20"/>
        </w:rPr>
      </w:pPr>
    </w:p>
    <w:p w14:paraId="76654D9E" w14:textId="77777777" w:rsidR="009A6F87" w:rsidRPr="005732FC" w:rsidRDefault="009A6F87" w:rsidP="009A6F87">
      <w:pPr>
        <w:spacing w:after="0"/>
        <w:jc w:val="both"/>
        <w:rPr>
          <w:rFonts w:ascii="Arial" w:hAnsi="Arial" w:cs="Arial"/>
          <w:sz w:val="20"/>
          <w:szCs w:val="20"/>
        </w:rPr>
      </w:pPr>
      <w:r w:rsidRPr="005732FC">
        <w:rPr>
          <w:rFonts w:ascii="Arial" w:hAnsi="Arial" w:cs="Arial"/>
          <w:sz w:val="20"/>
          <w:szCs w:val="20"/>
        </w:rPr>
        <w:t>Fideicomiso F/750179 de Banco Mercantil Del Norte, S. A., Institución de Banca Múltiple, Grupo Financiero Banorte, fue creado el 04 de mayo de 2020, como un Fideicomiso de administración y pago de las obligaciones contenidas en el Contrato de Concesión del Servicio Público de Limpia, en su etapa de recolección y transporte de residuos sólidos en el Municipio de Benito Juárez, Quintana Roo (Fideicomitente), por un periodo de 20 años.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75FA09C" w14:textId="77777777" w:rsidR="009A6F87" w:rsidRPr="005732FC" w:rsidRDefault="009A6F87" w:rsidP="009A6F87">
      <w:pPr>
        <w:spacing w:after="0"/>
        <w:jc w:val="both"/>
        <w:rPr>
          <w:rFonts w:ascii="Arial" w:hAnsi="Arial" w:cs="Arial"/>
          <w:sz w:val="20"/>
          <w:szCs w:val="20"/>
        </w:rPr>
      </w:pPr>
      <w:r w:rsidRPr="005732FC">
        <w:rPr>
          <w:rFonts w:ascii="Arial" w:hAnsi="Arial" w:cs="Arial"/>
          <w:sz w:val="20"/>
          <w:szCs w:val="20"/>
        </w:rPr>
        <w:lastRenderedPageBreak/>
        <w:t>Fideicomiso F/4124053 de BBVA Bancomer, S. A., fue creado mediante acuerdo 18-21/075 emitido en el séptimo punto del orden de los días de la sexagésima novena sesión ordinaria del Ayuntamiento del Municipio de Benito Juárez (Fideicomitente y Fideicomisario en Primer Lugar), del Estado de Quintana Roo, de fecha 15 de julio de 2021. La finalidad es administrar e invertir los recursos derivados del 4% de los recursos públicos provenientes del pago del derecho de saneamiento ambiental, que serán destinados al Apoyo Adicional al Retiro del Personal Policiaco.</w:t>
      </w:r>
    </w:p>
    <w:p w14:paraId="1BD68763" w14:textId="59820580" w:rsidR="007A0FFF" w:rsidRPr="005732FC" w:rsidRDefault="007A0FFF" w:rsidP="00142216">
      <w:pPr>
        <w:spacing w:after="0"/>
        <w:jc w:val="both"/>
        <w:rPr>
          <w:rFonts w:ascii="Arial" w:hAnsi="Arial" w:cs="Arial"/>
          <w:sz w:val="20"/>
          <w:szCs w:val="20"/>
        </w:rPr>
      </w:pPr>
    </w:p>
    <w:p w14:paraId="084E25C5" w14:textId="1014AE85" w:rsidR="00BA3347" w:rsidRPr="005732FC" w:rsidRDefault="00BA3347" w:rsidP="005D2B3E">
      <w:pPr>
        <w:pStyle w:val="Prrafodelista"/>
        <w:numPr>
          <w:ilvl w:val="0"/>
          <w:numId w:val="2"/>
        </w:numPr>
        <w:spacing w:after="0"/>
        <w:ind w:left="0" w:hanging="284"/>
        <w:jc w:val="both"/>
        <w:outlineLvl w:val="0"/>
        <w:rPr>
          <w:rFonts w:ascii="Arial" w:hAnsi="Arial" w:cs="Arial"/>
          <w:sz w:val="20"/>
          <w:szCs w:val="20"/>
        </w:rPr>
      </w:pPr>
      <w:r w:rsidRPr="005732FC">
        <w:rPr>
          <w:rFonts w:ascii="Arial" w:hAnsi="Arial" w:cs="Arial"/>
          <w:b/>
          <w:bCs/>
          <w:sz w:val="20"/>
          <w:szCs w:val="20"/>
        </w:rPr>
        <w:t>Bases de Preparación de los Estados Financieros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390B9D61" w14:textId="53D6E454" w:rsidR="00BA3347" w:rsidRPr="005732FC" w:rsidRDefault="00BA3347" w:rsidP="005D2B3E">
      <w:pPr>
        <w:spacing w:after="0"/>
        <w:jc w:val="both"/>
        <w:rPr>
          <w:rFonts w:ascii="Arial" w:hAnsi="Arial" w:cs="Arial"/>
          <w:b/>
          <w:bCs/>
          <w:sz w:val="20"/>
          <w:szCs w:val="20"/>
        </w:rPr>
      </w:pP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0DA16F87" w14:textId="515FD604" w:rsidR="00BA3347" w:rsidRPr="005732FC" w:rsidRDefault="00BA3347" w:rsidP="00E90D1D">
      <w:pPr>
        <w:pStyle w:val="Ttulo2"/>
        <w:numPr>
          <w:ilvl w:val="0"/>
          <w:numId w:val="32"/>
        </w:numPr>
        <w:rPr>
          <w:rFonts w:ascii="Arial" w:hAnsi="Arial" w:cs="Arial"/>
          <w:sz w:val="20"/>
          <w:szCs w:val="20"/>
        </w:rPr>
      </w:pPr>
      <w:r w:rsidRPr="005732FC">
        <w:rPr>
          <w:rFonts w:ascii="Arial" w:hAnsi="Arial" w:cs="Arial"/>
          <w:b/>
          <w:bCs/>
          <w:sz w:val="20"/>
          <w:szCs w:val="20"/>
        </w:rPr>
        <w:t>Normatividad</w:t>
      </w:r>
      <w:r w:rsidR="0076365B" w:rsidRPr="005732FC">
        <w:rPr>
          <w:rFonts w:ascii="Arial" w:hAnsi="Arial" w:cs="Arial"/>
          <w:b/>
          <w:bCs/>
          <w:sz w:val="20"/>
          <w:szCs w:val="20"/>
        </w:rPr>
        <w:t xml:space="preserve"> aplicable.</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54046FE"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C3C269E" w14:textId="77777777" w:rsidR="008338F4" w:rsidRPr="005732FC" w:rsidRDefault="00BA3347" w:rsidP="005D2B3E">
      <w:pPr>
        <w:spacing w:after="0"/>
        <w:jc w:val="both"/>
        <w:rPr>
          <w:rFonts w:ascii="Arial" w:hAnsi="Arial" w:cs="Arial"/>
          <w:sz w:val="20"/>
          <w:szCs w:val="20"/>
        </w:rPr>
      </w:pPr>
      <w:r w:rsidRPr="005732FC">
        <w:rPr>
          <w:rFonts w:ascii="Arial" w:hAnsi="Arial" w:cs="Arial"/>
          <w:sz w:val="20"/>
          <w:szCs w:val="20"/>
        </w:rPr>
        <w:t xml:space="preserve">Los Estados Financieros del Municipio de Benito Juárez del presente ejercicio, se prepararon aplicando la normatividad contable contenida en la Ley General de Contabilidad Gubernamental (LGCG), </w:t>
      </w:r>
      <w:r w:rsidR="0076365B" w:rsidRPr="005732FC">
        <w:rPr>
          <w:rFonts w:ascii="Arial" w:hAnsi="Arial" w:cs="Arial"/>
          <w:sz w:val="20"/>
          <w:szCs w:val="20"/>
        </w:rPr>
        <w:t xml:space="preserve">de conformidad con el artículo 1 de dicha Ley, así como </w:t>
      </w:r>
      <w:r w:rsidRPr="005732FC">
        <w:rPr>
          <w:rFonts w:ascii="Arial" w:hAnsi="Arial" w:cs="Arial"/>
          <w:sz w:val="20"/>
          <w:szCs w:val="20"/>
        </w:rPr>
        <w:t>los lineamientos emitidos por el Consejo Nacional de Armonización Contable (CONAC), cumpliendo con la mayoría de ellos, buscando que las Áreas  Responsables y Ejecutoras realicen los registros de las operaciones financieras que genera el Municipio en el sistema de contabilidad gubernamental armonizado, con el propósito de estar lo más cerca posible al registro en tiempo real.</w:t>
      </w:r>
    </w:p>
    <w:p w14:paraId="0DF0338D" w14:textId="1290E8B5"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2F66151" w14:textId="545E7394"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El Sistema Informático funciona en una plataforma web, con las pólizas modelo que entre otras acciones se alinean con las matrices de conversión. También el sistema de contabilidad considera de algunas pólizas especiales que se utilizan para operaciones no consideradas en el rango de las pólizas modelo y en las que el CONAC no ha emitido lineamientos específicos.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77FDFB6" w14:textId="77777777" w:rsidR="003E441C" w:rsidRPr="005732FC" w:rsidRDefault="003E441C" w:rsidP="005D2B3E">
      <w:pPr>
        <w:spacing w:after="0"/>
        <w:jc w:val="both"/>
        <w:rPr>
          <w:rFonts w:ascii="Arial" w:hAnsi="Arial" w:cs="Arial"/>
          <w:sz w:val="20"/>
          <w:szCs w:val="20"/>
        </w:rPr>
      </w:pPr>
    </w:p>
    <w:p w14:paraId="7D60BABE" w14:textId="77777777" w:rsidR="0076365B" w:rsidRPr="005732FC" w:rsidRDefault="00BA3347" w:rsidP="005D2B3E">
      <w:pPr>
        <w:spacing w:after="0"/>
        <w:jc w:val="both"/>
        <w:rPr>
          <w:rFonts w:ascii="Arial" w:hAnsi="Arial" w:cs="Arial"/>
          <w:sz w:val="20"/>
          <w:szCs w:val="20"/>
        </w:rPr>
      </w:pPr>
      <w:r w:rsidRPr="005732FC">
        <w:rPr>
          <w:rFonts w:ascii="Arial" w:hAnsi="Arial" w:cs="Arial"/>
          <w:sz w:val="20"/>
          <w:szCs w:val="20"/>
        </w:rPr>
        <w:t>En este sentido la información financiera que el sistema informático emite se interrelaciona con la parte presupuestal mediante las cuentas de orden presupuestales de ingreso y de egresos (Cuentas 81 y 82), en el Módulo de Reportes Contabilidad, mientras que la información presupuestal y programática se genera en el módulo presupuestal, mismos que se concilian mediante la “Conciliación Contable Presupuestal de los ingresos y de los Egresos”, según las reglas emitidas por el CONAC, que emite el mismo sistema.</w:t>
      </w:r>
    </w:p>
    <w:p w14:paraId="3FAB957A" w14:textId="77777777" w:rsidR="0076365B" w:rsidRPr="005732FC" w:rsidRDefault="0076365B" w:rsidP="005D2B3E">
      <w:pPr>
        <w:spacing w:after="0"/>
        <w:jc w:val="both"/>
        <w:rPr>
          <w:rFonts w:ascii="Arial" w:hAnsi="Arial" w:cs="Arial"/>
          <w:sz w:val="20"/>
          <w:szCs w:val="20"/>
        </w:rPr>
      </w:pPr>
    </w:p>
    <w:p w14:paraId="7A0938E6" w14:textId="5AB29BB1" w:rsidR="008C4611" w:rsidRPr="005732FC" w:rsidRDefault="0076365B" w:rsidP="0076365B">
      <w:pPr>
        <w:pStyle w:val="Ttulo2"/>
        <w:numPr>
          <w:ilvl w:val="0"/>
          <w:numId w:val="32"/>
        </w:numPr>
        <w:rPr>
          <w:rFonts w:ascii="Arial" w:hAnsi="Arial" w:cs="Arial"/>
          <w:b/>
          <w:bCs/>
          <w:sz w:val="20"/>
          <w:szCs w:val="20"/>
        </w:rPr>
      </w:pPr>
      <w:r w:rsidRPr="005732FC">
        <w:rPr>
          <w:rFonts w:ascii="Arial" w:hAnsi="Arial" w:cs="Arial"/>
          <w:b/>
          <w:bCs/>
          <w:sz w:val="20"/>
          <w:szCs w:val="20"/>
        </w:rPr>
        <w:t>Reconocimiento, valuación y revelación de los diferentes rubros de la información financiera.</w:t>
      </w:r>
    </w:p>
    <w:p w14:paraId="5CB4F723" w14:textId="77777777" w:rsidR="0076365B" w:rsidRPr="005732FC" w:rsidRDefault="0076365B" w:rsidP="0076365B">
      <w:pPr>
        <w:spacing w:after="0"/>
        <w:jc w:val="both"/>
        <w:rPr>
          <w:rFonts w:ascii="Arial" w:hAnsi="Arial" w:cs="Arial"/>
          <w:sz w:val="20"/>
          <w:szCs w:val="20"/>
        </w:rPr>
      </w:pPr>
    </w:p>
    <w:p w14:paraId="2F6EFE92" w14:textId="7DEE7374" w:rsidR="0076365B" w:rsidRPr="005732FC" w:rsidRDefault="0076365B" w:rsidP="0076365B">
      <w:pPr>
        <w:spacing w:after="0"/>
        <w:jc w:val="both"/>
        <w:rPr>
          <w:rFonts w:ascii="Arial" w:hAnsi="Arial" w:cs="Arial"/>
          <w:sz w:val="20"/>
          <w:szCs w:val="20"/>
        </w:rPr>
      </w:pPr>
      <w:r w:rsidRPr="005732FC">
        <w:rPr>
          <w:rFonts w:ascii="Arial" w:hAnsi="Arial" w:cs="Arial"/>
          <w:sz w:val="20"/>
          <w:szCs w:val="20"/>
        </w:rPr>
        <w:t xml:space="preserve">El municipio de Benito Juárez, realiza sus registros tomando como referencia lo estipulado en el Acuerdo por el que se emiten las Reglas de registro y valuación del Patrimonio emitidas por el Consejo Nacional de Armonización Contable, de conformidad con el artículo 30 de la Ley </w:t>
      </w:r>
      <w:r w:rsidR="008B3706" w:rsidRPr="005732FC">
        <w:rPr>
          <w:rFonts w:ascii="Arial" w:hAnsi="Arial" w:cs="Arial"/>
          <w:sz w:val="20"/>
          <w:szCs w:val="20"/>
        </w:rPr>
        <w:t xml:space="preserve">General </w:t>
      </w:r>
      <w:r w:rsidRPr="005732FC">
        <w:rPr>
          <w:rFonts w:ascii="Arial" w:hAnsi="Arial" w:cs="Arial"/>
          <w:sz w:val="20"/>
          <w:szCs w:val="20"/>
        </w:rPr>
        <w:t>de Contabilidad</w:t>
      </w:r>
      <w:r w:rsidR="008B3706" w:rsidRPr="005732FC">
        <w:rPr>
          <w:rFonts w:ascii="Arial" w:hAnsi="Arial" w:cs="Arial"/>
          <w:sz w:val="20"/>
          <w:szCs w:val="20"/>
        </w:rPr>
        <w:t xml:space="preserve"> Gubernamental.</w:t>
      </w:r>
    </w:p>
    <w:p w14:paraId="1323B938" w14:textId="35758F5A"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3594983" w14:textId="0CE48F10" w:rsidR="00BA3347" w:rsidRPr="005732FC" w:rsidRDefault="00BA3347" w:rsidP="008C4611">
      <w:pPr>
        <w:pStyle w:val="Ttulo2"/>
        <w:numPr>
          <w:ilvl w:val="0"/>
          <w:numId w:val="32"/>
        </w:numPr>
        <w:rPr>
          <w:rFonts w:ascii="Arial" w:hAnsi="Arial" w:cs="Arial"/>
          <w:b/>
          <w:bCs/>
          <w:sz w:val="20"/>
          <w:szCs w:val="20"/>
        </w:rPr>
      </w:pPr>
      <w:r w:rsidRPr="005732FC">
        <w:rPr>
          <w:rFonts w:ascii="Arial" w:hAnsi="Arial" w:cs="Arial"/>
          <w:b/>
          <w:bCs/>
          <w:sz w:val="20"/>
          <w:szCs w:val="20"/>
        </w:rPr>
        <w:t>Postulados Básicos de Contabilidad Gubernamental.</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B5B340B" w14:textId="77777777" w:rsidR="00E36D12" w:rsidRPr="005732FC" w:rsidRDefault="00E36D12" w:rsidP="005D2B3E">
      <w:pPr>
        <w:spacing w:after="0"/>
        <w:jc w:val="both"/>
        <w:rPr>
          <w:rFonts w:ascii="Arial" w:hAnsi="Arial" w:cs="Arial"/>
          <w:sz w:val="20"/>
          <w:szCs w:val="20"/>
        </w:rPr>
      </w:pPr>
    </w:p>
    <w:p w14:paraId="1365E7B5" w14:textId="134AAFB3"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 xml:space="preserve">Las políticas contables de la Administración Pública del Municipio de Benito </w:t>
      </w:r>
      <w:r w:rsidR="00E023B7" w:rsidRPr="005732FC">
        <w:rPr>
          <w:rFonts w:ascii="Arial" w:hAnsi="Arial" w:cs="Arial"/>
          <w:sz w:val="20"/>
          <w:szCs w:val="20"/>
        </w:rPr>
        <w:t>Juárez</w:t>
      </w:r>
      <w:r w:rsidRPr="005732FC">
        <w:rPr>
          <w:rFonts w:ascii="Arial" w:hAnsi="Arial" w:cs="Arial"/>
          <w:sz w:val="20"/>
          <w:szCs w:val="20"/>
        </w:rPr>
        <w:t xml:space="preserve">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afectan el ente público.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712A840" w14:textId="77777777" w:rsidR="003E441C" w:rsidRPr="005732FC" w:rsidRDefault="003E441C" w:rsidP="005D2B3E">
      <w:pPr>
        <w:spacing w:after="0"/>
        <w:jc w:val="both"/>
        <w:rPr>
          <w:rFonts w:ascii="Arial" w:hAnsi="Arial" w:cs="Arial"/>
          <w:sz w:val="20"/>
          <w:szCs w:val="20"/>
        </w:rPr>
      </w:pPr>
    </w:p>
    <w:p w14:paraId="4776B84F" w14:textId="27AF31B5"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Los postulados Básicos de Contabilidad Gubernamental adoptados son los aprobados por el Consejo Nacional de Armonización Contable, y se enlistan a continuación:</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C3EFA73" w14:textId="77777777" w:rsidR="003E441C" w:rsidRPr="005732FC" w:rsidRDefault="003E441C" w:rsidP="005D2B3E">
      <w:pPr>
        <w:spacing w:after="0"/>
        <w:jc w:val="both"/>
        <w:rPr>
          <w:rFonts w:ascii="Arial" w:hAnsi="Arial" w:cs="Arial"/>
          <w:sz w:val="20"/>
          <w:szCs w:val="20"/>
        </w:rPr>
      </w:pPr>
    </w:p>
    <w:p w14:paraId="30899953" w14:textId="3CBA0F8E" w:rsidR="00BA3347" w:rsidRPr="005732FC" w:rsidRDefault="003E441C" w:rsidP="005D2B3E">
      <w:pPr>
        <w:spacing w:after="0"/>
        <w:ind w:firstLine="567"/>
        <w:jc w:val="both"/>
        <w:rPr>
          <w:rFonts w:ascii="Arial" w:hAnsi="Arial" w:cs="Arial"/>
          <w:sz w:val="20"/>
          <w:szCs w:val="20"/>
        </w:rPr>
      </w:pPr>
      <w:r w:rsidRPr="005732FC">
        <w:rPr>
          <w:rFonts w:ascii="Arial" w:hAnsi="Arial" w:cs="Arial"/>
          <w:b/>
          <w:bCs/>
          <w:sz w:val="20"/>
          <w:szCs w:val="20"/>
        </w:rPr>
        <w:t xml:space="preserve">  </w:t>
      </w:r>
      <w:r w:rsidR="00BA3347" w:rsidRPr="005732FC">
        <w:rPr>
          <w:rFonts w:ascii="Arial" w:hAnsi="Arial" w:cs="Arial"/>
          <w:b/>
          <w:bCs/>
          <w:sz w:val="20"/>
          <w:szCs w:val="20"/>
        </w:rPr>
        <w:t>Sustancia económica</w:t>
      </w:r>
      <w:r w:rsidR="00BA3347" w:rsidRPr="005732FC">
        <w:rPr>
          <w:rFonts w:ascii="Arial" w:hAnsi="Arial" w:cs="Arial"/>
          <w:sz w:val="20"/>
          <w:szCs w:val="20"/>
        </w:rPr>
        <w:t>: Es el reconocimiento contable de las transacciones, transformaciones internas y otros eventos, que afectan económicamente al ente público y delimitan la operación del Sistema de Contabilidad Gubernamental (SCG).</w:t>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p>
    <w:p w14:paraId="77560DA9" w14:textId="77777777" w:rsidR="00911356"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b/>
          <w:bCs/>
          <w:sz w:val="20"/>
          <w:szCs w:val="20"/>
        </w:rPr>
        <w:t>Entes públicos:</w:t>
      </w:r>
      <w:r w:rsidRPr="005732FC">
        <w:rPr>
          <w:rFonts w:ascii="Arial" w:hAnsi="Arial" w:cs="Arial"/>
          <w:sz w:val="20"/>
          <w:szCs w:val="20"/>
        </w:rPr>
        <w:t xml:space="preserve"> 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r w:rsidRPr="005732FC">
        <w:rPr>
          <w:rFonts w:ascii="Arial" w:hAnsi="Arial" w:cs="Arial"/>
          <w:sz w:val="20"/>
          <w:szCs w:val="20"/>
        </w:rPr>
        <w:tab/>
      </w:r>
    </w:p>
    <w:p w14:paraId="29CBCAD6" w14:textId="28E1BE80"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lastRenderedPageBreak/>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66B513F" w14:textId="77777777" w:rsidR="00911356"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b/>
          <w:bCs/>
          <w:sz w:val="20"/>
          <w:szCs w:val="20"/>
        </w:rPr>
        <w:t>Existencia permanente:</w:t>
      </w:r>
      <w:r w:rsidRPr="005732FC">
        <w:rPr>
          <w:rFonts w:ascii="Arial" w:hAnsi="Arial" w:cs="Arial"/>
          <w:sz w:val="20"/>
          <w:szCs w:val="20"/>
        </w:rPr>
        <w:t xml:space="preserve"> La actividad del ente público se establece por tiempo indefinido, salvo disposición legal en la que se especifique lo contrario.</w:t>
      </w:r>
    </w:p>
    <w:p w14:paraId="0A314ABD" w14:textId="3B571271"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E59DC4B" w14:textId="77777777" w:rsidR="00911356"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b/>
          <w:bCs/>
          <w:sz w:val="20"/>
          <w:szCs w:val="20"/>
        </w:rPr>
        <w:t>Revelación suficiente:</w:t>
      </w:r>
      <w:r w:rsidRPr="005732FC">
        <w:rPr>
          <w:rFonts w:ascii="Arial" w:hAnsi="Arial" w:cs="Arial"/>
          <w:sz w:val="20"/>
          <w:szCs w:val="20"/>
        </w:rPr>
        <w:t xml:space="preserve"> Los estados y la información financiera deben mostrar amplia y claramente la situación financiera y los resultados del ente público.</w:t>
      </w:r>
    </w:p>
    <w:p w14:paraId="200CE3B8" w14:textId="2E188959"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8FA34DF" w14:textId="77777777" w:rsidR="00911356"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b/>
          <w:bCs/>
          <w:sz w:val="20"/>
          <w:szCs w:val="20"/>
        </w:rPr>
        <w:t>Importancia relativa:</w:t>
      </w:r>
      <w:r w:rsidRPr="005732FC">
        <w:rPr>
          <w:rFonts w:ascii="Arial" w:hAnsi="Arial" w:cs="Arial"/>
          <w:sz w:val="20"/>
          <w:szCs w:val="20"/>
        </w:rPr>
        <w:t xml:space="preserve"> La información debe mostrar los aspectos importantes de la entidad que fueron reconocidos contablemente.</w:t>
      </w:r>
      <w:r w:rsidRPr="005732FC">
        <w:rPr>
          <w:rFonts w:ascii="Arial" w:hAnsi="Arial" w:cs="Arial"/>
          <w:sz w:val="20"/>
          <w:szCs w:val="20"/>
        </w:rPr>
        <w:tab/>
      </w:r>
    </w:p>
    <w:p w14:paraId="2988C005" w14:textId="5865159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E3B3FCD" w14:textId="6F2081DB"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b/>
          <w:bCs/>
          <w:sz w:val="20"/>
          <w:szCs w:val="20"/>
        </w:rPr>
        <w:t>Registro e integración presupuestaria:</w:t>
      </w:r>
      <w:r w:rsidRPr="005732FC">
        <w:rPr>
          <w:rFonts w:ascii="Arial" w:hAnsi="Arial" w:cs="Arial"/>
          <w:sz w:val="20"/>
          <w:szCs w:val="20"/>
        </w:rPr>
        <w:t xml:space="preserve"> La información presupuestaria de los entes públicos se integra en la contabilidad en los mismos términos que se presentan en la ley de Ingresos y en el Decreto del Presupuesto </w:t>
      </w:r>
      <w:r w:rsidR="00A973D5">
        <w:rPr>
          <w:rFonts w:ascii="Arial" w:hAnsi="Arial" w:cs="Arial"/>
          <w:sz w:val="20"/>
          <w:szCs w:val="20"/>
        </w:rPr>
        <w:t xml:space="preserve">de </w:t>
      </w:r>
      <w:r w:rsidRPr="005732FC">
        <w:rPr>
          <w:rFonts w:ascii="Arial" w:hAnsi="Arial" w:cs="Arial"/>
          <w:sz w:val="20"/>
          <w:szCs w:val="20"/>
        </w:rPr>
        <w:t>Egresos, de acuerdo a la naturaleza económica que le corresponda.</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6DBB9B1" w14:textId="77777777" w:rsidR="009F19A8" w:rsidRPr="005732FC" w:rsidRDefault="00BA3347" w:rsidP="005D2B3E">
      <w:pPr>
        <w:spacing w:after="0"/>
        <w:jc w:val="both"/>
        <w:rPr>
          <w:rFonts w:ascii="Arial" w:hAnsi="Arial" w:cs="Arial"/>
          <w:sz w:val="20"/>
          <w:szCs w:val="20"/>
        </w:rPr>
      </w:pPr>
      <w:r w:rsidRPr="005732FC">
        <w:rPr>
          <w:rFonts w:ascii="Arial" w:hAnsi="Arial" w:cs="Arial"/>
          <w:sz w:val="20"/>
          <w:szCs w:val="20"/>
        </w:rPr>
        <w:tab/>
      </w:r>
    </w:p>
    <w:p w14:paraId="420BA052" w14:textId="3654C2CC"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El registro presupuestario del ingreso y del egreso en los entes públicos se debe reflejar en la contabilidad, considerando sus efectos patrimoniales y su vinculación con las etapas presupuestarias correspondientes.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3124593"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b/>
          <w:bCs/>
          <w:sz w:val="20"/>
          <w:szCs w:val="20"/>
        </w:rPr>
        <w:t>Consolidación de la información financiera:</w:t>
      </w:r>
      <w:r w:rsidRPr="005732FC">
        <w:rPr>
          <w:rFonts w:ascii="Arial" w:hAnsi="Arial" w:cs="Arial"/>
          <w:sz w:val="20"/>
          <w:szCs w:val="20"/>
        </w:rPr>
        <w:t xml:space="preserve"> 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7C2F691" w14:textId="77777777" w:rsidR="009F19A8"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b/>
          <w:bCs/>
          <w:sz w:val="20"/>
          <w:szCs w:val="20"/>
        </w:rPr>
        <w:t>Devengo contable:</w:t>
      </w:r>
      <w:r w:rsidRPr="005732FC">
        <w:rPr>
          <w:rFonts w:ascii="Arial" w:hAnsi="Arial" w:cs="Arial"/>
          <w:sz w:val="20"/>
          <w:szCs w:val="20"/>
        </w:rPr>
        <w:t xml:space="preserve"> 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r w:rsidRPr="005732FC">
        <w:rPr>
          <w:rFonts w:ascii="Arial" w:hAnsi="Arial" w:cs="Arial"/>
          <w:sz w:val="20"/>
          <w:szCs w:val="20"/>
        </w:rPr>
        <w:tab/>
      </w:r>
    </w:p>
    <w:p w14:paraId="7F0405CB" w14:textId="19C57916"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85F4471"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b/>
          <w:bCs/>
          <w:sz w:val="20"/>
          <w:szCs w:val="20"/>
        </w:rPr>
        <w:t>Valuación:</w:t>
      </w:r>
      <w:r w:rsidRPr="005732FC">
        <w:rPr>
          <w:rFonts w:ascii="Arial" w:hAnsi="Arial" w:cs="Arial"/>
          <w:sz w:val="20"/>
          <w:szCs w:val="20"/>
        </w:rPr>
        <w:t xml:space="preserve"> Todos los eventos que afecten económicamente al ente público deben ser cuantificados en términos monetarios y se registrarán al costo histórico o al valor económico más objetivo registrándose en moneda nacional.</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99EAC07" w14:textId="77777777" w:rsidR="009F19A8"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b/>
          <w:bCs/>
          <w:sz w:val="20"/>
          <w:szCs w:val="20"/>
        </w:rPr>
        <w:t>Dualidad económica:</w:t>
      </w:r>
      <w:r w:rsidRPr="005732FC">
        <w:rPr>
          <w:rFonts w:ascii="Arial" w:hAnsi="Arial" w:cs="Arial"/>
          <w:sz w:val="20"/>
          <w:szCs w:val="20"/>
        </w:rPr>
        <w:t xml:space="preserve"> 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59D17B17" w14:textId="1D79EDA6"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E5961A3" w14:textId="77777777" w:rsidR="008C4611"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b/>
          <w:bCs/>
          <w:sz w:val="20"/>
          <w:szCs w:val="20"/>
        </w:rPr>
        <w:t>Consistencia:</w:t>
      </w:r>
      <w:r w:rsidRPr="005732FC">
        <w:rPr>
          <w:rFonts w:ascii="Arial" w:hAnsi="Arial" w:cs="Arial"/>
          <w:sz w:val="20"/>
          <w:szCs w:val="20"/>
        </w:rPr>
        <w:t xml:space="preserve"> Ante la existencia de operaciones similares en un ente público, debe corresponder un mismo tratamiento contable, el cual debe permanecer a través del tiempo, en tanto no cambie la esencia económica de las operaciones.</w:t>
      </w:r>
    </w:p>
    <w:p w14:paraId="5737A3F1" w14:textId="77777777" w:rsidR="00B24D60" w:rsidRPr="005732FC" w:rsidRDefault="00B24D60" w:rsidP="005D2B3E">
      <w:pPr>
        <w:spacing w:after="0"/>
        <w:jc w:val="both"/>
        <w:rPr>
          <w:rFonts w:ascii="Arial" w:hAnsi="Arial" w:cs="Arial"/>
          <w:sz w:val="20"/>
          <w:szCs w:val="20"/>
        </w:rPr>
      </w:pPr>
    </w:p>
    <w:p w14:paraId="6AB26E37" w14:textId="09D0DC7B" w:rsidR="00B24D60" w:rsidRPr="005732FC" w:rsidRDefault="00B24D60" w:rsidP="00B24D60">
      <w:pPr>
        <w:pStyle w:val="Ttulo2"/>
        <w:numPr>
          <w:ilvl w:val="0"/>
          <w:numId w:val="32"/>
        </w:numPr>
        <w:rPr>
          <w:rFonts w:ascii="Arial" w:hAnsi="Arial" w:cs="Arial"/>
          <w:b/>
          <w:bCs/>
          <w:sz w:val="20"/>
          <w:szCs w:val="20"/>
        </w:rPr>
      </w:pPr>
      <w:r w:rsidRPr="005732FC">
        <w:rPr>
          <w:rFonts w:ascii="Arial" w:hAnsi="Arial" w:cs="Arial"/>
          <w:b/>
          <w:bCs/>
          <w:sz w:val="20"/>
          <w:szCs w:val="20"/>
        </w:rPr>
        <w:t>Normatividad supletoria.</w:t>
      </w:r>
    </w:p>
    <w:p w14:paraId="22FBE85B" w14:textId="77777777" w:rsidR="00B24D60" w:rsidRPr="005732FC" w:rsidRDefault="00B24D60" w:rsidP="00B24D60">
      <w:pPr>
        <w:spacing w:after="0"/>
        <w:jc w:val="both"/>
        <w:rPr>
          <w:rFonts w:ascii="Arial" w:hAnsi="Arial" w:cs="Arial"/>
          <w:sz w:val="20"/>
          <w:szCs w:val="20"/>
        </w:rPr>
      </w:pPr>
    </w:p>
    <w:p w14:paraId="46A4132E" w14:textId="01964713" w:rsidR="00B24D60" w:rsidRPr="005732FC" w:rsidRDefault="00B24D60" w:rsidP="00B24D60">
      <w:pPr>
        <w:spacing w:after="0"/>
        <w:jc w:val="both"/>
        <w:rPr>
          <w:rFonts w:ascii="Arial" w:hAnsi="Arial" w:cs="Arial"/>
          <w:sz w:val="20"/>
          <w:szCs w:val="20"/>
        </w:rPr>
      </w:pPr>
      <w:r w:rsidRPr="005732FC">
        <w:rPr>
          <w:rFonts w:ascii="Arial" w:hAnsi="Arial" w:cs="Arial"/>
          <w:sz w:val="20"/>
          <w:szCs w:val="20"/>
        </w:rPr>
        <w:t>A la fecha, los registros contables y presupuestarios de las operaciones del Municipio de Benito Juárez se han realizado teniendo como base la Ley General de Contabilidad</w:t>
      </w:r>
      <w:r w:rsidR="0099628F" w:rsidRPr="005732FC">
        <w:rPr>
          <w:rFonts w:ascii="Arial" w:hAnsi="Arial" w:cs="Arial"/>
          <w:sz w:val="20"/>
          <w:szCs w:val="20"/>
        </w:rPr>
        <w:t xml:space="preserve"> Gubernamental</w:t>
      </w:r>
      <w:r w:rsidRPr="005732FC">
        <w:rPr>
          <w:rFonts w:ascii="Arial" w:hAnsi="Arial" w:cs="Arial"/>
          <w:sz w:val="20"/>
          <w:szCs w:val="20"/>
        </w:rPr>
        <w:t>, así como los manuales, lineamientos y disposiciones emitidas por el Consejo Nacional de Armonización Contable y que son aplicables a este ente público.</w:t>
      </w:r>
    </w:p>
    <w:p w14:paraId="4FD6DFCB" w14:textId="77777777" w:rsidR="008C4611" w:rsidRPr="005732FC" w:rsidRDefault="008C4611" w:rsidP="005D2B3E">
      <w:pPr>
        <w:spacing w:after="0"/>
        <w:jc w:val="both"/>
        <w:rPr>
          <w:rFonts w:ascii="Arial" w:hAnsi="Arial" w:cs="Arial"/>
          <w:sz w:val="20"/>
          <w:szCs w:val="20"/>
        </w:rPr>
      </w:pPr>
    </w:p>
    <w:p w14:paraId="332943BD" w14:textId="10B7DBF0" w:rsidR="00B43FE5" w:rsidRPr="005732FC" w:rsidRDefault="00E4162E" w:rsidP="00E4162E">
      <w:pPr>
        <w:pStyle w:val="Ttulo2"/>
        <w:numPr>
          <w:ilvl w:val="0"/>
          <w:numId w:val="32"/>
        </w:numPr>
        <w:rPr>
          <w:rFonts w:ascii="Arial" w:hAnsi="Arial" w:cs="Arial"/>
          <w:b/>
          <w:bCs/>
          <w:sz w:val="20"/>
          <w:szCs w:val="20"/>
        </w:rPr>
      </w:pPr>
      <w:r w:rsidRPr="005732FC">
        <w:rPr>
          <w:rFonts w:ascii="Arial" w:hAnsi="Arial" w:cs="Arial"/>
          <w:b/>
          <w:bCs/>
          <w:sz w:val="20"/>
          <w:szCs w:val="20"/>
        </w:rPr>
        <w:t>Base de devengado.</w:t>
      </w:r>
    </w:p>
    <w:p w14:paraId="31CA9615" w14:textId="77777777" w:rsidR="00B43FE5" w:rsidRPr="005732FC" w:rsidRDefault="00B43FE5" w:rsidP="005D2B3E">
      <w:pPr>
        <w:spacing w:after="0"/>
        <w:jc w:val="both"/>
        <w:rPr>
          <w:rFonts w:ascii="Arial" w:hAnsi="Arial" w:cs="Arial"/>
          <w:sz w:val="20"/>
          <w:szCs w:val="20"/>
        </w:rPr>
      </w:pPr>
    </w:p>
    <w:p w14:paraId="3E2CA701" w14:textId="77777777" w:rsidR="00BF69A4" w:rsidRPr="005732FC" w:rsidRDefault="00B43FE5" w:rsidP="005D2B3E">
      <w:pPr>
        <w:spacing w:after="0"/>
        <w:jc w:val="both"/>
        <w:rPr>
          <w:rFonts w:ascii="Arial" w:hAnsi="Arial" w:cs="Arial"/>
          <w:sz w:val="20"/>
          <w:szCs w:val="20"/>
        </w:rPr>
      </w:pPr>
      <w:r w:rsidRPr="005732FC">
        <w:rPr>
          <w:rFonts w:ascii="Arial" w:hAnsi="Arial" w:cs="Arial"/>
          <w:sz w:val="20"/>
          <w:szCs w:val="20"/>
        </w:rPr>
        <w:t xml:space="preserve">De conformidad con el artículo </w:t>
      </w:r>
      <w:r w:rsidR="00E4162E" w:rsidRPr="005732FC">
        <w:rPr>
          <w:rFonts w:ascii="Arial" w:hAnsi="Arial" w:cs="Arial"/>
          <w:sz w:val="20"/>
          <w:szCs w:val="20"/>
        </w:rPr>
        <w:t xml:space="preserve">1 y </w:t>
      </w:r>
      <w:r w:rsidRPr="005732FC">
        <w:rPr>
          <w:rFonts w:ascii="Arial" w:hAnsi="Arial" w:cs="Arial"/>
          <w:sz w:val="20"/>
          <w:szCs w:val="20"/>
        </w:rPr>
        <w:t>52 de la Ley General de Contabilidad Gubernamental, el Municipio de Benito Juárez realiza sus registros sobre la base de devengado</w:t>
      </w:r>
      <w:r w:rsidR="00E4162E" w:rsidRPr="005732FC">
        <w:rPr>
          <w:rFonts w:ascii="Arial" w:hAnsi="Arial" w:cs="Arial"/>
          <w:sz w:val="20"/>
          <w:szCs w:val="20"/>
        </w:rPr>
        <w:t>, aplicando este criterio a partir del año 2012.</w:t>
      </w:r>
      <w:r w:rsidR="00BA3347" w:rsidRPr="005732FC">
        <w:rPr>
          <w:rFonts w:ascii="Arial" w:hAnsi="Arial" w:cs="Arial"/>
          <w:sz w:val="20"/>
          <w:szCs w:val="20"/>
        </w:rPr>
        <w:tab/>
      </w:r>
    </w:p>
    <w:p w14:paraId="50060283" w14:textId="152B6E21"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p>
    <w:p w14:paraId="65BA7FF6" w14:textId="2AD994BD" w:rsidR="00A21A5F" w:rsidRPr="005732FC" w:rsidRDefault="00BA3347" w:rsidP="00BF69A4">
      <w:pPr>
        <w:pStyle w:val="Ttulo1"/>
        <w:numPr>
          <w:ilvl w:val="0"/>
          <w:numId w:val="6"/>
        </w:numPr>
        <w:spacing w:after="240"/>
        <w:ind w:left="0" w:hanging="284"/>
        <w:rPr>
          <w:rFonts w:ascii="Arial" w:hAnsi="Arial" w:cs="Arial"/>
          <w:b/>
          <w:bCs/>
          <w:color w:val="auto"/>
          <w:sz w:val="20"/>
          <w:szCs w:val="20"/>
        </w:rPr>
      </w:pPr>
      <w:r w:rsidRPr="005732FC">
        <w:rPr>
          <w:rFonts w:ascii="Arial" w:hAnsi="Arial" w:cs="Arial"/>
          <w:b/>
          <w:bCs/>
          <w:color w:val="auto"/>
          <w:sz w:val="20"/>
          <w:szCs w:val="20"/>
        </w:rPr>
        <w:lastRenderedPageBreak/>
        <w:t>Políticas de Contabilidad Significativas</w:t>
      </w:r>
    </w:p>
    <w:p w14:paraId="119B4731" w14:textId="3460BF69" w:rsidR="00BA3347" w:rsidRPr="005732FC" w:rsidRDefault="00A21A5F" w:rsidP="00BF69A4">
      <w:pPr>
        <w:pStyle w:val="Ttulo2"/>
        <w:numPr>
          <w:ilvl w:val="0"/>
          <w:numId w:val="36"/>
        </w:numPr>
        <w:spacing w:after="240"/>
        <w:rPr>
          <w:rFonts w:ascii="Arial" w:hAnsi="Arial" w:cs="Arial"/>
          <w:b/>
          <w:bCs/>
          <w:sz w:val="20"/>
          <w:szCs w:val="20"/>
        </w:rPr>
      </w:pPr>
      <w:r w:rsidRPr="005732FC">
        <w:rPr>
          <w:rFonts w:ascii="Arial" w:hAnsi="Arial" w:cs="Arial"/>
          <w:b/>
          <w:bCs/>
          <w:sz w:val="20"/>
          <w:szCs w:val="20"/>
        </w:rPr>
        <w:t>Actualización.</w:t>
      </w:r>
    </w:p>
    <w:p w14:paraId="3C57BBF7" w14:textId="57E3A34E" w:rsidR="00A21A5F" w:rsidRPr="005732FC" w:rsidRDefault="00BB69E2" w:rsidP="00AC3771">
      <w:pPr>
        <w:spacing w:after="0"/>
        <w:jc w:val="both"/>
        <w:rPr>
          <w:rFonts w:ascii="Arial" w:hAnsi="Arial" w:cs="Arial"/>
          <w:sz w:val="20"/>
          <w:szCs w:val="20"/>
        </w:rPr>
      </w:pPr>
      <w:r w:rsidRPr="005732FC">
        <w:rPr>
          <w:rFonts w:ascii="Arial" w:hAnsi="Arial" w:cs="Arial"/>
          <w:sz w:val="20"/>
          <w:szCs w:val="20"/>
        </w:rPr>
        <w:t>Al periodo que se presenta, no ha ocurrido efectos inflacionarios que exijan una actualización del valor de los activos, pasivos y Hacienda Pública/Patrimonio, por lo que éstos conservan su valor de reconocimiento inicial.</w:t>
      </w:r>
    </w:p>
    <w:p w14:paraId="770C9B7C" w14:textId="77777777" w:rsidR="00491B55" w:rsidRPr="005732FC" w:rsidRDefault="00491B55" w:rsidP="00BB69E2">
      <w:pPr>
        <w:spacing w:after="0"/>
        <w:rPr>
          <w:rFonts w:ascii="Arial" w:hAnsi="Arial" w:cs="Arial"/>
          <w:sz w:val="20"/>
          <w:szCs w:val="20"/>
        </w:rPr>
      </w:pPr>
    </w:p>
    <w:p w14:paraId="46B69F92" w14:textId="7D01060D" w:rsidR="00BB69E2" w:rsidRPr="005732FC" w:rsidRDefault="00BB69E2" w:rsidP="00491B55">
      <w:pPr>
        <w:pStyle w:val="Ttulo2"/>
        <w:numPr>
          <w:ilvl w:val="0"/>
          <w:numId w:val="36"/>
        </w:numPr>
        <w:rPr>
          <w:rFonts w:ascii="Arial" w:hAnsi="Arial" w:cs="Arial"/>
          <w:b/>
          <w:bCs/>
          <w:sz w:val="20"/>
          <w:szCs w:val="20"/>
        </w:rPr>
      </w:pPr>
      <w:r w:rsidRPr="005732FC">
        <w:rPr>
          <w:rFonts w:ascii="Arial" w:hAnsi="Arial" w:cs="Arial"/>
          <w:b/>
          <w:bCs/>
          <w:sz w:val="20"/>
          <w:szCs w:val="20"/>
        </w:rPr>
        <w:t>Operaciones en el extranjero.</w:t>
      </w:r>
    </w:p>
    <w:p w14:paraId="1AA7EC91" w14:textId="77777777" w:rsidR="00BB69E2" w:rsidRPr="005732FC" w:rsidRDefault="00BB69E2" w:rsidP="00BB69E2">
      <w:pPr>
        <w:spacing w:after="0"/>
        <w:rPr>
          <w:rFonts w:ascii="Arial" w:hAnsi="Arial" w:cs="Arial"/>
          <w:sz w:val="20"/>
          <w:szCs w:val="20"/>
        </w:rPr>
      </w:pPr>
    </w:p>
    <w:p w14:paraId="07A74912" w14:textId="61C7B3F6" w:rsidR="009D3D37" w:rsidRPr="005732FC" w:rsidRDefault="00BB69E2" w:rsidP="009D3D37">
      <w:pPr>
        <w:spacing w:after="0"/>
        <w:jc w:val="both"/>
        <w:rPr>
          <w:rFonts w:ascii="Arial" w:hAnsi="Arial" w:cs="Arial"/>
          <w:sz w:val="20"/>
          <w:szCs w:val="20"/>
        </w:rPr>
      </w:pPr>
      <w:r w:rsidRPr="005732FC">
        <w:rPr>
          <w:rFonts w:ascii="Arial" w:hAnsi="Arial" w:cs="Arial"/>
          <w:sz w:val="20"/>
          <w:szCs w:val="20"/>
        </w:rPr>
        <w:t>Al término de este periodo, no ha existido ningún tipo de operación en el extranjero que manifestar.</w:t>
      </w:r>
      <w:r w:rsidR="00AC3771" w:rsidRPr="005732FC">
        <w:rPr>
          <w:rFonts w:ascii="Arial" w:hAnsi="Arial" w:cs="Arial"/>
          <w:sz w:val="20"/>
          <w:szCs w:val="20"/>
        </w:rPr>
        <w:t xml:space="preserve"> </w:t>
      </w:r>
      <w:r w:rsidR="009D3D37" w:rsidRPr="005732FC">
        <w:rPr>
          <w:rFonts w:ascii="Arial" w:hAnsi="Arial" w:cs="Arial"/>
          <w:sz w:val="20"/>
          <w:szCs w:val="20"/>
        </w:rPr>
        <w:t xml:space="preserve">Las operaciones del manejo de recursos se realizan con las instituciones del Sistema Financiero Mexicano, en moneda nacional de curso legal a su valor nominal. </w:t>
      </w:r>
    </w:p>
    <w:p w14:paraId="038AD73B" w14:textId="77777777" w:rsidR="00491B55" w:rsidRPr="005732FC" w:rsidRDefault="00491B55" w:rsidP="00BB69E2">
      <w:pPr>
        <w:spacing w:after="0"/>
        <w:rPr>
          <w:rFonts w:ascii="Arial" w:hAnsi="Arial" w:cs="Arial"/>
          <w:sz w:val="20"/>
          <w:szCs w:val="20"/>
        </w:rPr>
      </w:pPr>
    </w:p>
    <w:p w14:paraId="3CE16A41" w14:textId="09C9F1C6" w:rsidR="00BB69E2" w:rsidRPr="005732FC" w:rsidRDefault="00BB69E2" w:rsidP="00491B55">
      <w:pPr>
        <w:pStyle w:val="Ttulo2"/>
        <w:numPr>
          <w:ilvl w:val="0"/>
          <w:numId w:val="36"/>
        </w:numPr>
        <w:rPr>
          <w:rFonts w:ascii="Arial" w:hAnsi="Arial" w:cs="Arial"/>
          <w:sz w:val="20"/>
          <w:szCs w:val="20"/>
        </w:rPr>
      </w:pPr>
      <w:r w:rsidRPr="005732FC">
        <w:rPr>
          <w:rFonts w:ascii="Arial" w:hAnsi="Arial" w:cs="Arial"/>
          <w:b/>
          <w:bCs/>
          <w:sz w:val="20"/>
          <w:szCs w:val="20"/>
        </w:rPr>
        <w:t>Valuación de inversiones.</w:t>
      </w:r>
    </w:p>
    <w:p w14:paraId="1D5891FC" w14:textId="77777777" w:rsidR="00BB69E2" w:rsidRPr="005732FC" w:rsidRDefault="00BB69E2" w:rsidP="00BB69E2">
      <w:pPr>
        <w:spacing w:after="0"/>
      </w:pPr>
    </w:p>
    <w:p w14:paraId="5740F579" w14:textId="43F74CF1" w:rsidR="00491B55" w:rsidRPr="005732FC" w:rsidRDefault="002F086B" w:rsidP="00AC3771">
      <w:pPr>
        <w:spacing w:after="0"/>
        <w:jc w:val="both"/>
        <w:rPr>
          <w:rFonts w:ascii="Arial" w:hAnsi="Arial" w:cs="Arial"/>
          <w:sz w:val="20"/>
          <w:szCs w:val="20"/>
        </w:rPr>
      </w:pPr>
      <w:r w:rsidRPr="005732FC">
        <w:rPr>
          <w:rFonts w:ascii="Arial" w:hAnsi="Arial" w:cs="Arial"/>
          <w:sz w:val="20"/>
          <w:szCs w:val="20"/>
        </w:rPr>
        <w:t xml:space="preserve">El Municipio de Benito Juárez </w:t>
      </w:r>
      <w:r w:rsidR="00E81807" w:rsidRPr="005732FC">
        <w:rPr>
          <w:rFonts w:ascii="Arial" w:hAnsi="Arial" w:cs="Arial"/>
          <w:sz w:val="20"/>
          <w:szCs w:val="20"/>
        </w:rPr>
        <w:t xml:space="preserve">no </w:t>
      </w:r>
      <w:r w:rsidRPr="005732FC">
        <w:rPr>
          <w:rFonts w:ascii="Arial" w:hAnsi="Arial" w:cs="Arial"/>
          <w:sz w:val="20"/>
          <w:szCs w:val="20"/>
        </w:rPr>
        <w:t>cuenta con inversiones en compañías subsidiarias.</w:t>
      </w:r>
    </w:p>
    <w:p w14:paraId="19826BF7" w14:textId="77777777" w:rsidR="00491B55" w:rsidRPr="005732FC" w:rsidRDefault="00491B55" w:rsidP="00491B55">
      <w:pPr>
        <w:spacing w:after="0"/>
      </w:pPr>
    </w:p>
    <w:p w14:paraId="79AFB282" w14:textId="4B74B498" w:rsidR="002F086B" w:rsidRPr="005732FC" w:rsidRDefault="002F086B" w:rsidP="00491B55">
      <w:pPr>
        <w:pStyle w:val="Ttulo2"/>
        <w:numPr>
          <w:ilvl w:val="0"/>
          <w:numId w:val="36"/>
        </w:numPr>
        <w:rPr>
          <w:rFonts w:ascii="Arial" w:hAnsi="Arial" w:cs="Arial"/>
          <w:b/>
          <w:bCs/>
          <w:sz w:val="20"/>
          <w:szCs w:val="20"/>
        </w:rPr>
      </w:pPr>
      <w:r w:rsidRPr="005732FC">
        <w:rPr>
          <w:rFonts w:ascii="Arial" w:hAnsi="Arial" w:cs="Arial"/>
          <w:b/>
          <w:bCs/>
          <w:sz w:val="20"/>
          <w:szCs w:val="20"/>
        </w:rPr>
        <w:t>Valuación de inventarios.</w:t>
      </w:r>
    </w:p>
    <w:p w14:paraId="0492547C" w14:textId="77777777" w:rsidR="002F086B" w:rsidRPr="005732FC" w:rsidRDefault="002F086B" w:rsidP="002F086B">
      <w:pPr>
        <w:spacing w:after="0"/>
        <w:rPr>
          <w:b/>
          <w:bCs/>
        </w:rPr>
      </w:pPr>
    </w:p>
    <w:p w14:paraId="2007B0D1" w14:textId="1D3885F7" w:rsidR="002F086B" w:rsidRPr="005732FC" w:rsidRDefault="002F086B" w:rsidP="002F086B">
      <w:pPr>
        <w:spacing w:after="0"/>
        <w:rPr>
          <w:rFonts w:ascii="Arial" w:hAnsi="Arial" w:cs="Arial"/>
          <w:sz w:val="20"/>
          <w:szCs w:val="20"/>
        </w:rPr>
      </w:pPr>
      <w:r w:rsidRPr="005732FC">
        <w:rPr>
          <w:rFonts w:ascii="Arial" w:hAnsi="Arial" w:cs="Arial"/>
          <w:sz w:val="20"/>
          <w:szCs w:val="20"/>
        </w:rPr>
        <w:t>El Municipio de Benito Juárez no realiza procesos de producción, elaboración ni transformación de mercancías para uso o venta.</w:t>
      </w:r>
    </w:p>
    <w:p w14:paraId="55D811D7" w14:textId="77777777" w:rsidR="00491B55" w:rsidRPr="005732FC" w:rsidRDefault="00491B55" w:rsidP="002F086B">
      <w:pPr>
        <w:spacing w:after="0"/>
        <w:rPr>
          <w:rFonts w:ascii="Arial" w:hAnsi="Arial" w:cs="Arial"/>
          <w:sz w:val="20"/>
          <w:szCs w:val="20"/>
        </w:rPr>
      </w:pPr>
    </w:p>
    <w:p w14:paraId="06645981" w14:textId="574B3368" w:rsidR="002F086B" w:rsidRPr="005732FC" w:rsidRDefault="002F086B" w:rsidP="00491B55">
      <w:pPr>
        <w:pStyle w:val="Ttulo2"/>
        <w:numPr>
          <w:ilvl w:val="0"/>
          <w:numId w:val="36"/>
        </w:numPr>
        <w:rPr>
          <w:rFonts w:ascii="Arial" w:hAnsi="Arial" w:cs="Arial"/>
          <w:b/>
          <w:bCs/>
          <w:sz w:val="20"/>
          <w:szCs w:val="20"/>
        </w:rPr>
      </w:pPr>
      <w:r w:rsidRPr="005732FC">
        <w:rPr>
          <w:rFonts w:ascii="Arial" w:hAnsi="Arial" w:cs="Arial"/>
          <w:b/>
          <w:bCs/>
          <w:sz w:val="20"/>
          <w:szCs w:val="20"/>
        </w:rPr>
        <w:t>Beneficios a empleados.</w:t>
      </w:r>
    </w:p>
    <w:p w14:paraId="4BC13F9C" w14:textId="77777777" w:rsidR="002F086B" w:rsidRPr="005732FC" w:rsidRDefault="002F086B" w:rsidP="002F086B">
      <w:pPr>
        <w:spacing w:after="0"/>
        <w:rPr>
          <w:rFonts w:ascii="Arial" w:hAnsi="Arial" w:cs="Arial"/>
          <w:sz w:val="20"/>
          <w:szCs w:val="20"/>
        </w:rPr>
      </w:pPr>
    </w:p>
    <w:p w14:paraId="6C04C697" w14:textId="5815F6F3" w:rsidR="002F086B" w:rsidRPr="005732FC" w:rsidRDefault="002F086B" w:rsidP="002F086B">
      <w:pPr>
        <w:spacing w:after="0"/>
        <w:jc w:val="both"/>
        <w:rPr>
          <w:rFonts w:ascii="Arial" w:hAnsi="Arial" w:cs="Arial"/>
          <w:sz w:val="20"/>
          <w:szCs w:val="20"/>
        </w:rPr>
      </w:pPr>
      <w:r w:rsidRPr="005732FC">
        <w:rPr>
          <w:rFonts w:ascii="Arial" w:hAnsi="Arial" w:cs="Arial"/>
          <w:sz w:val="20"/>
          <w:szCs w:val="20"/>
        </w:rPr>
        <w:t xml:space="preserve">La obligación de realizar cálculos de reserva actuarial de pensiones no aplica para el Municipio de Benito Juárez, en virtud de que dispone de un Convenio de Incorporación total voluntaria al Régimen Obligatorio de Ley del Instituto Mexicano del Seguro Social (IMSS) </w:t>
      </w:r>
      <w:r w:rsidR="0048712B" w:rsidRPr="005732FC">
        <w:rPr>
          <w:rFonts w:ascii="Arial" w:hAnsi="Arial" w:cs="Arial"/>
          <w:sz w:val="20"/>
          <w:szCs w:val="20"/>
        </w:rPr>
        <w:t>y l</w:t>
      </w:r>
      <w:r w:rsidRPr="005732FC">
        <w:rPr>
          <w:rFonts w:ascii="Arial" w:hAnsi="Arial" w:cs="Arial"/>
          <w:sz w:val="20"/>
          <w:szCs w:val="20"/>
        </w:rPr>
        <w:t>a Ley del Instituto de Seguridad social al Servicio de los Trabajadores del Estado (ISSSTE).</w:t>
      </w:r>
    </w:p>
    <w:p w14:paraId="490D4DCF" w14:textId="77777777" w:rsidR="00491B55" w:rsidRPr="005732FC" w:rsidRDefault="00491B55" w:rsidP="002F086B">
      <w:pPr>
        <w:spacing w:after="0"/>
        <w:jc w:val="both"/>
        <w:rPr>
          <w:rFonts w:ascii="Arial" w:hAnsi="Arial" w:cs="Arial"/>
          <w:sz w:val="20"/>
          <w:szCs w:val="20"/>
        </w:rPr>
      </w:pPr>
    </w:p>
    <w:p w14:paraId="1469EF14" w14:textId="3FE2924E" w:rsidR="002F086B" w:rsidRPr="005732FC" w:rsidRDefault="002F086B" w:rsidP="00491B55">
      <w:pPr>
        <w:pStyle w:val="Ttulo2"/>
        <w:numPr>
          <w:ilvl w:val="0"/>
          <w:numId w:val="36"/>
        </w:numPr>
        <w:rPr>
          <w:rFonts w:ascii="Arial" w:hAnsi="Arial" w:cs="Arial"/>
          <w:b/>
          <w:bCs/>
          <w:sz w:val="20"/>
          <w:szCs w:val="20"/>
        </w:rPr>
      </w:pPr>
      <w:r w:rsidRPr="005732FC">
        <w:rPr>
          <w:rFonts w:ascii="Arial" w:hAnsi="Arial" w:cs="Arial"/>
          <w:b/>
          <w:bCs/>
          <w:sz w:val="20"/>
          <w:szCs w:val="20"/>
        </w:rPr>
        <w:t>Provisiones.</w:t>
      </w:r>
    </w:p>
    <w:p w14:paraId="465E05D7" w14:textId="19FE74A6" w:rsidR="002F086B" w:rsidRPr="005732FC" w:rsidRDefault="002F086B" w:rsidP="00921B85">
      <w:pPr>
        <w:spacing w:before="240"/>
        <w:jc w:val="both"/>
        <w:rPr>
          <w:rFonts w:ascii="Arial" w:hAnsi="Arial" w:cs="Arial"/>
          <w:sz w:val="20"/>
          <w:szCs w:val="20"/>
        </w:rPr>
      </w:pPr>
      <w:r w:rsidRPr="005732FC">
        <w:rPr>
          <w:rFonts w:ascii="Arial" w:hAnsi="Arial" w:cs="Arial"/>
          <w:sz w:val="20"/>
          <w:szCs w:val="20"/>
        </w:rPr>
        <w:t>A la fecha, no se ha constituido provisiones</w:t>
      </w:r>
      <w:r w:rsidR="00503968" w:rsidRPr="005732FC">
        <w:rPr>
          <w:rFonts w:ascii="Arial" w:hAnsi="Arial" w:cs="Arial"/>
          <w:sz w:val="20"/>
          <w:szCs w:val="20"/>
        </w:rPr>
        <w:t>, en virtud de que el reconocimiento de los pasivos se realiza con base de devengado.</w:t>
      </w:r>
    </w:p>
    <w:p w14:paraId="3A2F846A" w14:textId="4A2B707B" w:rsidR="002F086B" w:rsidRPr="005732FC" w:rsidRDefault="00503968" w:rsidP="00491B55">
      <w:pPr>
        <w:pStyle w:val="Ttulo2"/>
        <w:numPr>
          <w:ilvl w:val="0"/>
          <w:numId w:val="36"/>
        </w:numPr>
        <w:spacing w:before="240"/>
        <w:rPr>
          <w:rFonts w:ascii="Arial" w:hAnsi="Arial" w:cs="Arial"/>
          <w:b/>
          <w:bCs/>
          <w:sz w:val="20"/>
          <w:szCs w:val="20"/>
        </w:rPr>
      </w:pPr>
      <w:r w:rsidRPr="005732FC">
        <w:rPr>
          <w:rFonts w:ascii="Arial" w:hAnsi="Arial" w:cs="Arial"/>
          <w:b/>
          <w:bCs/>
          <w:sz w:val="20"/>
          <w:szCs w:val="20"/>
        </w:rPr>
        <w:t>Reservas.</w:t>
      </w:r>
    </w:p>
    <w:p w14:paraId="7CC01AE9" w14:textId="0E675390" w:rsidR="00503968" w:rsidRPr="005732FC" w:rsidRDefault="00503968" w:rsidP="00921B85">
      <w:pPr>
        <w:spacing w:before="240"/>
        <w:jc w:val="both"/>
        <w:rPr>
          <w:rFonts w:ascii="Arial" w:hAnsi="Arial" w:cs="Arial"/>
          <w:sz w:val="20"/>
          <w:szCs w:val="20"/>
        </w:rPr>
      </w:pPr>
      <w:r w:rsidRPr="005732FC">
        <w:rPr>
          <w:rFonts w:ascii="Arial" w:hAnsi="Arial" w:cs="Arial"/>
          <w:sz w:val="20"/>
          <w:szCs w:val="20"/>
        </w:rPr>
        <w:t>Al periodo que se presenta, no se han constituido reservas.</w:t>
      </w:r>
    </w:p>
    <w:p w14:paraId="17EE7F43" w14:textId="22EB8C1F" w:rsidR="00503968" w:rsidRPr="005732FC" w:rsidRDefault="00503968" w:rsidP="00921B85">
      <w:pPr>
        <w:pStyle w:val="Ttulo2"/>
        <w:numPr>
          <w:ilvl w:val="0"/>
          <w:numId w:val="36"/>
        </w:numPr>
        <w:spacing w:after="160"/>
        <w:jc w:val="both"/>
        <w:rPr>
          <w:rFonts w:ascii="Arial" w:hAnsi="Arial" w:cs="Arial"/>
          <w:b/>
          <w:bCs/>
          <w:sz w:val="20"/>
          <w:szCs w:val="20"/>
        </w:rPr>
      </w:pPr>
      <w:r w:rsidRPr="005732FC">
        <w:rPr>
          <w:rFonts w:ascii="Arial" w:hAnsi="Arial" w:cs="Arial"/>
          <w:b/>
          <w:bCs/>
          <w:sz w:val="20"/>
          <w:szCs w:val="20"/>
        </w:rPr>
        <w:t>Cambios en políticas contables.</w:t>
      </w:r>
    </w:p>
    <w:p w14:paraId="68C92CC4" w14:textId="7D23C1E4" w:rsidR="00491B55" w:rsidRPr="005732FC" w:rsidRDefault="00491B55" w:rsidP="00921B85">
      <w:pPr>
        <w:jc w:val="both"/>
        <w:rPr>
          <w:rFonts w:ascii="Arial" w:hAnsi="Arial" w:cs="Arial"/>
          <w:sz w:val="20"/>
          <w:szCs w:val="20"/>
        </w:rPr>
      </w:pPr>
      <w:r w:rsidRPr="005732FC">
        <w:rPr>
          <w:rFonts w:ascii="Arial" w:hAnsi="Arial" w:cs="Arial"/>
          <w:sz w:val="20"/>
          <w:szCs w:val="20"/>
        </w:rPr>
        <w:t>Se ha mantenido una con</w:t>
      </w:r>
      <w:r w:rsidR="00BC7B4E" w:rsidRPr="005732FC">
        <w:rPr>
          <w:rFonts w:ascii="Arial" w:hAnsi="Arial" w:cs="Arial"/>
          <w:sz w:val="20"/>
          <w:szCs w:val="20"/>
        </w:rPr>
        <w:t>sistencia</w:t>
      </w:r>
      <w:r w:rsidRPr="005732FC">
        <w:rPr>
          <w:rFonts w:ascii="Arial" w:hAnsi="Arial" w:cs="Arial"/>
          <w:sz w:val="20"/>
          <w:szCs w:val="20"/>
        </w:rPr>
        <w:t xml:space="preserve"> en la aplicación de las políticas contables, por lo que al periodo que se presenta, no se ha realizado correcciones relevantes que impacten significativamente a los Estados Financieros.</w:t>
      </w:r>
      <w:r w:rsidRPr="005732FC">
        <w:rPr>
          <w:rFonts w:ascii="Arial" w:hAnsi="Arial" w:cs="Arial"/>
          <w:sz w:val="20"/>
          <w:szCs w:val="20"/>
        </w:rPr>
        <w:tab/>
      </w:r>
    </w:p>
    <w:p w14:paraId="72CA45CA" w14:textId="05AA2F61" w:rsidR="00503968" w:rsidRPr="005732FC" w:rsidRDefault="00503968" w:rsidP="00921B85">
      <w:pPr>
        <w:pStyle w:val="Ttulo2"/>
        <w:numPr>
          <w:ilvl w:val="0"/>
          <w:numId w:val="36"/>
        </w:numPr>
        <w:spacing w:after="160"/>
        <w:jc w:val="both"/>
        <w:rPr>
          <w:rFonts w:ascii="Arial" w:hAnsi="Arial" w:cs="Arial"/>
          <w:b/>
          <w:bCs/>
          <w:sz w:val="20"/>
          <w:szCs w:val="20"/>
        </w:rPr>
      </w:pPr>
      <w:r w:rsidRPr="005732FC">
        <w:rPr>
          <w:rFonts w:ascii="Arial" w:hAnsi="Arial" w:cs="Arial"/>
          <w:b/>
          <w:bCs/>
          <w:sz w:val="20"/>
          <w:szCs w:val="20"/>
        </w:rPr>
        <w:t>Reclasificaciones:</w:t>
      </w:r>
    </w:p>
    <w:p w14:paraId="0D06CFFC" w14:textId="509531F1" w:rsidR="00BA3347" w:rsidRPr="005732FC" w:rsidRDefault="00491B55" w:rsidP="00921B85">
      <w:pPr>
        <w:jc w:val="both"/>
        <w:rPr>
          <w:rFonts w:ascii="Arial" w:hAnsi="Arial" w:cs="Arial"/>
          <w:sz w:val="20"/>
          <w:szCs w:val="20"/>
        </w:rPr>
      </w:pPr>
      <w:r w:rsidRPr="005732FC">
        <w:rPr>
          <w:rFonts w:ascii="Arial" w:hAnsi="Arial" w:cs="Arial"/>
          <w:sz w:val="20"/>
          <w:szCs w:val="20"/>
        </w:rPr>
        <w:t>A la fecha, no se ha registrado reclasificaciones</w:t>
      </w:r>
      <w:r w:rsidR="00BC7B4E" w:rsidRPr="005732FC">
        <w:rPr>
          <w:rFonts w:ascii="Arial" w:hAnsi="Arial" w:cs="Arial"/>
          <w:sz w:val="20"/>
          <w:szCs w:val="20"/>
        </w:rPr>
        <w:t xml:space="preserve"> que impacten y/o modifiquen la presentación de los estados financieros.</w:t>
      </w:r>
    </w:p>
    <w:p w14:paraId="5965BE54" w14:textId="5932130A" w:rsidR="00BA3347" w:rsidRPr="005732FC" w:rsidRDefault="00BA3347" w:rsidP="00491B55">
      <w:pPr>
        <w:pStyle w:val="Ttulo2"/>
        <w:numPr>
          <w:ilvl w:val="0"/>
          <w:numId w:val="36"/>
        </w:numPr>
        <w:rPr>
          <w:rFonts w:ascii="Arial" w:hAnsi="Arial" w:cs="Arial"/>
          <w:b/>
          <w:bCs/>
          <w:sz w:val="20"/>
          <w:szCs w:val="20"/>
        </w:rPr>
      </w:pPr>
      <w:r w:rsidRPr="005732FC">
        <w:rPr>
          <w:rFonts w:ascii="Arial" w:hAnsi="Arial" w:cs="Arial"/>
          <w:b/>
          <w:bCs/>
          <w:sz w:val="20"/>
          <w:szCs w:val="20"/>
        </w:rPr>
        <w:t>Depuración y Cancelación de Saldos.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2F4376CE" w14:textId="77777777" w:rsidR="00BA3347" w:rsidRPr="005732FC" w:rsidRDefault="00BA3347" w:rsidP="00BB69E2">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0C3DF73" w14:textId="77777777" w:rsidR="00C66955" w:rsidRPr="005732FC" w:rsidRDefault="00BA3347" w:rsidP="00BB69E2">
      <w:pPr>
        <w:spacing w:after="0"/>
        <w:jc w:val="both"/>
        <w:rPr>
          <w:rFonts w:ascii="Arial" w:hAnsi="Arial" w:cs="Arial"/>
          <w:sz w:val="20"/>
          <w:szCs w:val="20"/>
        </w:rPr>
      </w:pPr>
      <w:r w:rsidRPr="005732FC">
        <w:rPr>
          <w:rFonts w:ascii="Arial" w:hAnsi="Arial" w:cs="Arial"/>
          <w:sz w:val="20"/>
          <w:szCs w:val="20"/>
        </w:rPr>
        <w:t>Con el fin de presentar en los Estados Financieros información veraz y apegada a la realidad del Municipio se continúa con la depuración de saldos haciendo análisis a las diversas cuentas de activo y pasivo, con el fin de integrar los saldos incorrectos, realizar los ajustes necesarios para su adecuada revelación.</w:t>
      </w:r>
    </w:p>
    <w:p w14:paraId="6AB924AA" w14:textId="3551DE24" w:rsidR="00BA3347" w:rsidRPr="005732FC" w:rsidRDefault="00BA3347" w:rsidP="00BB69E2">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BC08498" w14:textId="6BA44833" w:rsidR="00BA3347" w:rsidRPr="005732FC" w:rsidRDefault="00BA3347" w:rsidP="005D2B3E">
      <w:pPr>
        <w:pStyle w:val="Ttulo1"/>
        <w:numPr>
          <w:ilvl w:val="0"/>
          <w:numId w:val="6"/>
        </w:numPr>
        <w:ind w:left="0" w:hanging="284"/>
        <w:rPr>
          <w:rFonts w:ascii="Arial" w:hAnsi="Arial" w:cs="Arial"/>
          <w:b/>
          <w:bCs/>
          <w:sz w:val="20"/>
          <w:szCs w:val="20"/>
        </w:rPr>
      </w:pPr>
      <w:r w:rsidRPr="005732FC">
        <w:rPr>
          <w:rFonts w:ascii="Arial" w:hAnsi="Arial" w:cs="Arial"/>
          <w:b/>
          <w:bCs/>
          <w:color w:val="auto"/>
          <w:sz w:val="20"/>
          <w:szCs w:val="20"/>
        </w:rPr>
        <w:lastRenderedPageBreak/>
        <w:t>Posición en Moneda Extranjera Protección por Riesgo Cambiario</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03AB9835"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8FAECB0" w14:textId="6656C0FC"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 xml:space="preserve">El Municipio de Benito Juárez no cuenta con recursos financieros en moneda extranjera siendo todos ellos representados en </w:t>
      </w:r>
      <w:r w:rsidR="00BC7B4E" w:rsidRPr="005732FC">
        <w:rPr>
          <w:rFonts w:ascii="Arial" w:hAnsi="Arial" w:cs="Arial"/>
          <w:sz w:val="20"/>
          <w:szCs w:val="20"/>
        </w:rPr>
        <w:t>moneda nacional</w:t>
      </w:r>
      <w:r w:rsidRPr="005732FC">
        <w:rPr>
          <w:rFonts w:ascii="Arial" w:hAnsi="Arial" w:cs="Arial"/>
          <w:sz w:val="20"/>
          <w:szCs w:val="20"/>
        </w:rPr>
        <w:t>.</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BFDFB78" w14:textId="77777777" w:rsidR="009F19A8" w:rsidRPr="005732FC" w:rsidRDefault="009F19A8" w:rsidP="005D2B3E">
      <w:pPr>
        <w:spacing w:after="0"/>
        <w:jc w:val="both"/>
        <w:rPr>
          <w:rFonts w:ascii="Arial" w:hAnsi="Arial" w:cs="Arial"/>
          <w:sz w:val="20"/>
          <w:szCs w:val="20"/>
        </w:rPr>
      </w:pPr>
    </w:p>
    <w:p w14:paraId="0EDD056A" w14:textId="4CDBECA2"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Los estados financieros del periodo comprendido del 1</w:t>
      </w:r>
      <w:r w:rsidR="00D7496E" w:rsidRPr="005732FC">
        <w:rPr>
          <w:rFonts w:ascii="Arial" w:hAnsi="Arial" w:cs="Arial"/>
          <w:sz w:val="20"/>
          <w:szCs w:val="20"/>
        </w:rPr>
        <w:t xml:space="preserve"> de enero</w:t>
      </w:r>
      <w:r w:rsidRPr="005732FC">
        <w:rPr>
          <w:rFonts w:ascii="Arial" w:hAnsi="Arial" w:cs="Arial"/>
          <w:sz w:val="20"/>
          <w:szCs w:val="20"/>
        </w:rPr>
        <w:t xml:space="preserve"> </w:t>
      </w:r>
      <w:r w:rsidR="009E00EA" w:rsidRPr="005732FC">
        <w:rPr>
          <w:rFonts w:ascii="Arial" w:hAnsi="Arial" w:cs="Arial"/>
          <w:sz w:val="20"/>
          <w:szCs w:val="20"/>
        </w:rPr>
        <w:t xml:space="preserve">al </w:t>
      </w:r>
      <w:r w:rsidR="00A73405" w:rsidRPr="005732FC">
        <w:rPr>
          <w:rFonts w:ascii="Arial" w:hAnsi="Arial" w:cs="Arial"/>
          <w:sz w:val="20"/>
          <w:szCs w:val="20"/>
        </w:rPr>
        <w:t>3</w:t>
      </w:r>
      <w:r w:rsidR="00CC1C41" w:rsidRPr="005732FC">
        <w:rPr>
          <w:rFonts w:ascii="Arial" w:hAnsi="Arial" w:cs="Arial"/>
          <w:sz w:val="20"/>
          <w:szCs w:val="20"/>
        </w:rPr>
        <w:t>0</w:t>
      </w:r>
      <w:r w:rsidR="009E00EA" w:rsidRPr="005732FC">
        <w:rPr>
          <w:rFonts w:ascii="Arial" w:hAnsi="Arial" w:cs="Arial"/>
          <w:sz w:val="20"/>
          <w:szCs w:val="20"/>
        </w:rPr>
        <w:t xml:space="preserve"> </w:t>
      </w:r>
      <w:r w:rsidRPr="005732FC">
        <w:rPr>
          <w:rFonts w:ascii="Arial" w:hAnsi="Arial" w:cs="Arial"/>
          <w:sz w:val="20"/>
          <w:szCs w:val="20"/>
        </w:rPr>
        <w:t xml:space="preserve">de </w:t>
      </w:r>
      <w:r w:rsidR="00CC1C41" w:rsidRPr="005732FC">
        <w:rPr>
          <w:rFonts w:ascii="Arial" w:hAnsi="Arial" w:cs="Arial"/>
          <w:sz w:val="20"/>
          <w:szCs w:val="20"/>
        </w:rPr>
        <w:t>junio</w:t>
      </w:r>
      <w:r w:rsidRPr="005732FC">
        <w:rPr>
          <w:rFonts w:ascii="Arial" w:hAnsi="Arial" w:cs="Arial"/>
          <w:sz w:val="20"/>
          <w:szCs w:val="20"/>
        </w:rPr>
        <w:t xml:space="preserve"> de</w:t>
      </w:r>
      <w:r w:rsidR="005127B5" w:rsidRPr="005732FC">
        <w:rPr>
          <w:rFonts w:ascii="Arial" w:hAnsi="Arial" w:cs="Arial"/>
          <w:sz w:val="20"/>
          <w:szCs w:val="20"/>
        </w:rPr>
        <w:t xml:space="preserve"> </w:t>
      </w:r>
      <w:r w:rsidRPr="005732FC">
        <w:rPr>
          <w:rFonts w:ascii="Arial" w:hAnsi="Arial" w:cs="Arial"/>
          <w:sz w:val="20"/>
          <w:szCs w:val="20"/>
        </w:rPr>
        <w:t>202</w:t>
      </w:r>
      <w:r w:rsidR="009E00EA" w:rsidRPr="005732FC">
        <w:rPr>
          <w:rFonts w:ascii="Arial" w:hAnsi="Arial" w:cs="Arial"/>
          <w:sz w:val="20"/>
          <w:szCs w:val="20"/>
        </w:rPr>
        <w:t>5</w:t>
      </w:r>
      <w:r w:rsidRPr="005732FC">
        <w:rPr>
          <w:rFonts w:ascii="Arial" w:hAnsi="Arial" w:cs="Arial"/>
          <w:sz w:val="20"/>
          <w:szCs w:val="20"/>
        </w:rPr>
        <w:t xml:space="preserve"> están presentados en pesos mexicanos corrientes.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0255E97" w14:textId="58AD2DD4" w:rsidR="00BA3347" w:rsidRPr="005732FC" w:rsidRDefault="00BA3347" w:rsidP="005D2B3E">
      <w:pPr>
        <w:pStyle w:val="Ttulo1"/>
        <w:numPr>
          <w:ilvl w:val="0"/>
          <w:numId w:val="6"/>
        </w:numPr>
        <w:ind w:left="0" w:hanging="284"/>
        <w:rPr>
          <w:rFonts w:ascii="Arial" w:hAnsi="Arial" w:cs="Arial"/>
          <w:b/>
          <w:bCs/>
          <w:sz w:val="20"/>
          <w:szCs w:val="20"/>
        </w:rPr>
      </w:pPr>
      <w:r w:rsidRPr="005732FC">
        <w:rPr>
          <w:rFonts w:ascii="Arial" w:hAnsi="Arial" w:cs="Arial"/>
          <w:b/>
          <w:bCs/>
          <w:color w:val="auto"/>
          <w:sz w:val="20"/>
          <w:szCs w:val="20"/>
        </w:rPr>
        <w:t>Reporte Analítico del Activo</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44AAB1B4" w14:textId="77777777" w:rsidR="00BA3347" w:rsidRPr="005732FC" w:rsidRDefault="00BA3347" w:rsidP="005D2B3E">
      <w:pPr>
        <w:spacing w:after="0"/>
        <w:jc w:val="both"/>
        <w:rPr>
          <w:rFonts w:ascii="Arial" w:hAnsi="Arial" w:cs="Arial"/>
          <w:b/>
          <w:bCs/>
          <w:sz w:val="20"/>
          <w:szCs w:val="20"/>
        </w:rPr>
      </w:pP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65B2E7F5" w14:textId="692277BD" w:rsidR="00C447C7" w:rsidRPr="005732FC" w:rsidRDefault="00C447C7" w:rsidP="00C447C7">
      <w:pPr>
        <w:pStyle w:val="Ttulo2"/>
        <w:numPr>
          <w:ilvl w:val="1"/>
          <w:numId w:val="6"/>
        </w:numPr>
        <w:ind w:left="567"/>
        <w:rPr>
          <w:rFonts w:ascii="Arial" w:hAnsi="Arial" w:cs="Arial"/>
          <w:b/>
          <w:bCs/>
          <w:sz w:val="20"/>
          <w:szCs w:val="20"/>
        </w:rPr>
      </w:pPr>
      <w:r w:rsidRPr="005732FC">
        <w:rPr>
          <w:rFonts w:ascii="Arial" w:hAnsi="Arial" w:cs="Arial"/>
          <w:b/>
          <w:bCs/>
          <w:sz w:val="20"/>
          <w:szCs w:val="20"/>
        </w:rPr>
        <w:t>Vida útil, depreciación y amortización.</w:t>
      </w:r>
    </w:p>
    <w:p w14:paraId="513ED0AF" w14:textId="77777777" w:rsidR="00C447C7" w:rsidRPr="005732FC" w:rsidRDefault="00C447C7" w:rsidP="00C447C7">
      <w:pPr>
        <w:spacing w:after="0"/>
        <w:jc w:val="both"/>
        <w:rPr>
          <w:rFonts w:ascii="Arial" w:hAnsi="Arial" w:cs="Arial"/>
          <w:sz w:val="20"/>
          <w:szCs w:val="20"/>
        </w:rPr>
      </w:pPr>
    </w:p>
    <w:p w14:paraId="05654438" w14:textId="13552ED8" w:rsidR="00C447C7" w:rsidRPr="005732FC" w:rsidRDefault="00A4735C" w:rsidP="00C447C7">
      <w:pPr>
        <w:spacing w:after="0"/>
        <w:jc w:val="both"/>
        <w:rPr>
          <w:rFonts w:ascii="Arial" w:hAnsi="Arial" w:cs="Arial"/>
          <w:sz w:val="20"/>
          <w:szCs w:val="20"/>
        </w:rPr>
      </w:pPr>
      <w:r w:rsidRPr="005732FC">
        <w:rPr>
          <w:rFonts w:ascii="Arial" w:hAnsi="Arial" w:cs="Arial"/>
          <w:sz w:val="20"/>
          <w:szCs w:val="20"/>
        </w:rPr>
        <w:t>Se calcula</w:t>
      </w:r>
      <w:r w:rsidR="00C447C7" w:rsidRPr="005732FC">
        <w:rPr>
          <w:rFonts w:ascii="Arial" w:hAnsi="Arial" w:cs="Arial"/>
          <w:sz w:val="20"/>
          <w:szCs w:val="20"/>
        </w:rPr>
        <w:t xml:space="preserve"> conforme al método de línea recta, a partir del mes siguiente de su adquisición. Las </w:t>
      </w:r>
      <w:r w:rsidR="003C1F23" w:rsidRPr="005732FC">
        <w:rPr>
          <w:rFonts w:ascii="Arial" w:hAnsi="Arial" w:cs="Arial"/>
          <w:sz w:val="20"/>
          <w:szCs w:val="20"/>
        </w:rPr>
        <w:t>t</w:t>
      </w:r>
      <w:r w:rsidR="00C447C7" w:rsidRPr="005732FC">
        <w:rPr>
          <w:rFonts w:ascii="Arial" w:hAnsi="Arial" w:cs="Arial"/>
          <w:sz w:val="20"/>
          <w:szCs w:val="20"/>
        </w:rPr>
        <w:t xml:space="preserve">asas de depreciación se toman de acuerdo a </w:t>
      </w:r>
      <w:r w:rsidRPr="005732FC">
        <w:rPr>
          <w:rFonts w:ascii="Arial" w:hAnsi="Arial" w:cs="Arial"/>
          <w:sz w:val="20"/>
          <w:szCs w:val="20"/>
        </w:rPr>
        <w:t>los parámetros de estimación de vida útil, y a la “Guía de vida útil estimada y porcentajes de depreciación”, emiti</w:t>
      </w:r>
      <w:r w:rsidR="0080284D" w:rsidRPr="005732FC">
        <w:rPr>
          <w:rFonts w:ascii="Arial" w:hAnsi="Arial" w:cs="Arial"/>
          <w:sz w:val="20"/>
          <w:szCs w:val="20"/>
        </w:rPr>
        <w:t>dos por el Consejo Nacional de Armonización Contable.</w:t>
      </w:r>
    </w:p>
    <w:p w14:paraId="7B8C09DE" w14:textId="26FAB90C" w:rsidR="00C447C7" w:rsidRPr="005732FC" w:rsidRDefault="00C447C7" w:rsidP="00C447C7">
      <w:pPr>
        <w:spacing w:after="0"/>
        <w:jc w:val="both"/>
        <w:rPr>
          <w:rFonts w:ascii="Arial" w:hAnsi="Arial" w:cs="Arial"/>
          <w:sz w:val="20"/>
          <w:szCs w:val="20"/>
        </w:rPr>
      </w:pPr>
    </w:p>
    <w:tbl>
      <w:tblPr>
        <w:tblpPr w:leftFromText="141" w:rightFromText="141" w:vertAnchor="text" w:horzAnchor="margin" w:tblpXSpec="center" w:tblpY="27"/>
        <w:tblW w:w="0" w:type="auto"/>
        <w:tblBorders>
          <w:top w:val="single" w:sz="6" w:space="0" w:color="auto"/>
          <w:bottom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23"/>
        <w:gridCol w:w="4109"/>
        <w:gridCol w:w="1745"/>
        <w:gridCol w:w="1958"/>
      </w:tblGrid>
      <w:tr w:rsidR="00A4735C" w:rsidRPr="005732FC" w14:paraId="4EB06997" w14:textId="77777777" w:rsidTr="00532E89">
        <w:trPr>
          <w:trHeight w:val="20"/>
          <w:tblHeader/>
        </w:trPr>
        <w:tc>
          <w:tcPr>
            <w:tcW w:w="0" w:type="auto"/>
            <w:shd w:val="pct12" w:color="auto" w:fill="auto"/>
            <w:noWrap/>
            <w:vAlign w:val="center"/>
          </w:tcPr>
          <w:p w14:paraId="4F570623" w14:textId="77777777" w:rsidR="00A4735C" w:rsidRPr="005732FC" w:rsidRDefault="00A4735C" w:rsidP="00A4735C">
            <w:pPr>
              <w:pStyle w:val="Texto"/>
              <w:spacing w:after="0" w:line="240" w:lineRule="exact"/>
              <w:ind w:firstLine="0"/>
              <w:jc w:val="center"/>
              <w:rPr>
                <w:b/>
                <w:color w:val="000000"/>
                <w:sz w:val="20"/>
                <w:lang w:val="es-MX"/>
              </w:rPr>
            </w:pPr>
            <w:r w:rsidRPr="005732FC">
              <w:rPr>
                <w:b/>
                <w:color w:val="000000"/>
                <w:sz w:val="20"/>
                <w:lang w:val="es-MX"/>
              </w:rPr>
              <w:t>Cuenta</w:t>
            </w:r>
          </w:p>
        </w:tc>
        <w:tc>
          <w:tcPr>
            <w:tcW w:w="4109" w:type="dxa"/>
            <w:shd w:val="pct12" w:color="auto" w:fill="auto"/>
            <w:vAlign w:val="center"/>
          </w:tcPr>
          <w:p w14:paraId="58935743" w14:textId="77777777" w:rsidR="00A4735C" w:rsidRPr="005732FC" w:rsidRDefault="00A4735C" w:rsidP="00A4735C">
            <w:pPr>
              <w:pStyle w:val="Texto"/>
              <w:spacing w:after="0" w:line="240" w:lineRule="exact"/>
              <w:ind w:firstLine="0"/>
              <w:jc w:val="center"/>
              <w:rPr>
                <w:b/>
                <w:color w:val="000000"/>
                <w:sz w:val="20"/>
                <w:lang w:val="es-MX"/>
              </w:rPr>
            </w:pPr>
            <w:r w:rsidRPr="005732FC">
              <w:rPr>
                <w:b/>
                <w:color w:val="000000"/>
                <w:sz w:val="20"/>
                <w:lang w:val="es-MX"/>
              </w:rPr>
              <w:t>Concepto</w:t>
            </w:r>
          </w:p>
        </w:tc>
        <w:tc>
          <w:tcPr>
            <w:tcW w:w="0" w:type="auto"/>
            <w:shd w:val="pct12" w:color="auto" w:fill="auto"/>
            <w:vAlign w:val="center"/>
          </w:tcPr>
          <w:p w14:paraId="27878A6C" w14:textId="77777777" w:rsidR="00A4735C" w:rsidRPr="005732FC" w:rsidRDefault="00A4735C" w:rsidP="00A4735C">
            <w:pPr>
              <w:pStyle w:val="Texto"/>
              <w:spacing w:after="0" w:line="240" w:lineRule="exact"/>
              <w:ind w:firstLine="0"/>
              <w:jc w:val="center"/>
              <w:rPr>
                <w:b/>
                <w:color w:val="000000"/>
                <w:sz w:val="20"/>
                <w:lang w:val="es-MX"/>
              </w:rPr>
            </w:pPr>
            <w:r w:rsidRPr="005732FC">
              <w:rPr>
                <w:b/>
                <w:color w:val="000000"/>
                <w:sz w:val="20"/>
                <w:lang w:val="es-MX"/>
              </w:rPr>
              <w:t>Años de vida útil</w:t>
            </w:r>
          </w:p>
        </w:tc>
        <w:tc>
          <w:tcPr>
            <w:tcW w:w="1958" w:type="dxa"/>
            <w:shd w:val="pct12" w:color="auto" w:fill="auto"/>
            <w:vAlign w:val="center"/>
          </w:tcPr>
          <w:p w14:paraId="15D605FD" w14:textId="77777777" w:rsidR="00A4735C" w:rsidRPr="005732FC" w:rsidRDefault="00A4735C" w:rsidP="00A4735C">
            <w:pPr>
              <w:pStyle w:val="Texto"/>
              <w:spacing w:after="0" w:line="240" w:lineRule="exact"/>
              <w:ind w:firstLine="0"/>
              <w:jc w:val="center"/>
              <w:rPr>
                <w:b/>
                <w:color w:val="000000"/>
                <w:sz w:val="20"/>
                <w:lang w:val="es-MX"/>
              </w:rPr>
            </w:pPr>
            <w:r w:rsidRPr="005732FC">
              <w:rPr>
                <w:b/>
                <w:color w:val="000000"/>
                <w:sz w:val="20"/>
                <w:lang w:val="es-MX"/>
              </w:rPr>
              <w:t>% de depreciación anual</w:t>
            </w:r>
          </w:p>
        </w:tc>
      </w:tr>
      <w:tr w:rsidR="00A4735C" w:rsidRPr="005732FC" w14:paraId="7DEC3132" w14:textId="77777777" w:rsidTr="00532E89">
        <w:trPr>
          <w:trHeight w:val="20"/>
        </w:trPr>
        <w:tc>
          <w:tcPr>
            <w:tcW w:w="0" w:type="auto"/>
            <w:vAlign w:val="center"/>
          </w:tcPr>
          <w:p w14:paraId="314FF8EF" w14:textId="77777777" w:rsidR="00A4735C" w:rsidRPr="005732FC" w:rsidRDefault="00A4735C" w:rsidP="00A4735C">
            <w:pPr>
              <w:pStyle w:val="Texto"/>
              <w:spacing w:after="0" w:line="240" w:lineRule="exact"/>
              <w:ind w:firstLine="0"/>
              <w:rPr>
                <w:b/>
                <w:color w:val="000000"/>
                <w:sz w:val="20"/>
                <w:lang w:val="es-MX"/>
              </w:rPr>
            </w:pPr>
            <w:r w:rsidRPr="005732FC">
              <w:rPr>
                <w:b/>
                <w:color w:val="000000"/>
                <w:sz w:val="20"/>
                <w:lang w:val="es-MX"/>
              </w:rPr>
              <w:t>1.2.4</w:t>
            </w:r>
          </w:p>
        </w:tc>
        <w:tc>
          <w:tcPr>
            <w:tcW w:w="7812" w:type="dxa"/>
            <w:gridSpan w:val="3"/>
            <w:vAlign w:val="center"/>
          </w:tcPr>
          <w:p w14:paraId="640DBBD8" w14:textId="77777777" w:rsidR="00A4735C" w:rsidRPr="005732FC" w:rsidRDefault="00A4735C" w:rsidP="00A4735C">
            <w:pPr>
              <w:pStyle w:val="Texto"/>
              <w:spacing w:after="0" w:line="240" w:lineRule="exact"/>
              <w:ind w:firstLine="0"/>
              <w:rPr>
                <w:color w:val="000000"/>
                <w:sz w:val="20"/>
                <w:lang w:val="es-MX"/>
              </w:rPr>
            </w:pPr>
            <w:r w:rsidRPr="005732FC">
              <w:rPr>
                <w:b/>
                <w:color w:val="000000"/>
                <w:sz w:val="20"/>
                <w:lang w:val="es-MX"/>
              </w:rPr>
              <w:t>BIENES MUEBLES</w:t>
            </w:r>
          </w:p>
        </w:tc>
      </w:tr>
      <w:tr w:rsidR="00A4735C" w:rsidRPr="005732FC" w14:paraId="7FDF7D32" w14:textId="77777777" w:rsidTr="00532E89">
        <w:trPr>
          <w:trHeight w:val="20"/>
        </w:trPr>
        <w:tc>
          <w:tcPr>
            <w:tcW w:w="0" w:type="auto"/>
            <w:tcBorders>
              <w:bottom w:val="single" w:sz="6" w:space="0" w:color="auto"/>
            </w:tcBorders>
            <w:vAlign w:val="center"/>
          </w:tcPr>
          <w:p w14:paraId="6928424C" w14:textId="77777777" w:rsidR="00A4735C" w:rsidRPr="005732FC" w:rsidRDefault="00A4735C" w:rsidP="00A4735C">
            <w:pPr>
              <w:pStyle w:val="Texto"/>
              <w:spacing w:after="0" w:line="240" w:lineRule="exact"/>
              <w:ind w:firstLine="0"/>
              <w:rPr>
                <w:b/>
                <w:color w:val="000000"/>
                <w:sz w:val="20"/>
                <w:lang w:val="es-MX"/>
              </w:rPr>
            </w:pPr>
            <w:r w:rsidRPr="005732FC">
              <w:rPr>
                <w:b/>
                <w:color w:val="000000"/>
                <w:sz w:val="20"/>
                <w:lang w:val="es-MX"/>
              </w:rPr>
              <w:t>1.2.4.1</w:t>
            </w:r>
          </w:p>
        </w:tc>
        <w:tc>
          <w:tcPr>
            <w:tcW w:w="4109" w:type="dxa"/>
            <w:tcBorders>
              <w:bottom w:val="single" w:sz="6" w:space="0" w:color="auto"/>
            </w:tcBorders>
            <w:vAlign w:val="center"/>
          </w:tcPr>
          <w:p w14:paraId="4884569E" w14:textId="77777777" w:rsidR="00A4735C" w:rsidRPr="005732FC" w:rsidRDefault="00A4735C" w:rsidP="00A4735C">
            <w:pPr>
              <w:pStyle w:val="Texto"/>
              <w:spacing w:after="0" w:line="240" w:lineRule="exact"/>
              <w:ind w:firstLine="0"/>
              <w:rPr>
                <w:b/>
                <w:color w:val="000000"/>
                <w:sz w:val="20"/>
                <w:lang w:val="es-MX"/>
              </w:rPr>
            </w:pPr>
            <w:r w:rsidRPr="005732FC">
              <w:rPr>
                <w:b/>
                <w:color w:val="000000"/>
                <w:sz w:val="20"/>
                <w:lang w:val="es-MX"/>
              </w:rPr>
              <w:t>Mobiliario y Equipo de Administración</w:t>
            </w:r>
          </w:p>
        </w:tc>
        <w:tc>
          <w:tcPr>
            <w:tcW w:w="0" w:type="auto"/>
            <w:tcBorders>
              <w:bottom w:val="single" w:sz="6" w:space="0" w:color="auto"/>
            </w:tcBorders>
            <w:vAlign w:val="center"/>
          </w:tcPr>
          <w:p w14:paraId="17FBD2A7" w14:textId="77777777" w:rsidR="00A4735C" w:rsidRPr="005732FC" w:rsidRDefault="00A4735C" w:rsidP="00A4735C">
            <w:pPr>
              <w:pStyle w:val="Texto"/>
              <w:spacing w:after="0" w:line="240" w:lineRule="exact"/>
              <w:ind w:firstLine="0"/>
              <w:jc w:val="center"/>
              <w:rPr>
                <w:color w:val="000000"/>
                <w:sz w:val="20"/>
                <w:lang w:val="es-MX"/>
              </w:rPr>
            </w:pPr>
          </w:p>
        </w:tc>
        <w:tc>
          <w:tcPr>
            <w:tcW w:w="1958" w:type="dxa"/>
            <w:tcBorders>
              <w:bottom w:val="single" w:sz="6" w:space="0" w:color="auto"/>
            </w:tcBorders>
            <w:vAlign w:val="center"/>
          </w:tcPr>
          <w:p w14:paraId="32CD0FAF" w14:textId="77777777" w:rsidR="00A4735C" w:rsidRPr="005732FC" w:rsidRDefault="00A4735C" w:rsidP="00A4735C">
            <w:pPr>
              <w:pStyle w:val="Texto"/>
              <w:spacing w:after="0" w:line="240" w:lineRule="exact"/>
              <w:ind w:firstLine="0"/>
              <w:jc w:val="center"/>
              <w:rPr>
                <w:color w:val="000000"/>
                <w:sz w:val="20"/>
                <w:lang w:val="es-MX"/>
              </w:rPr>
            </w:pPr>
          </w:p>
        </w:tc>
      </w:tr>
      <w:tr w:rsidR="00A4735C" w:rsidRPr="005732FC" w14:paraId="663767D9" w14:textId="77777777" w:rsidTr="00532E89">
        <w:trPr>
          <w:trHeight w:val="20"/>
        </w:trPr>
        <w:tc>
          <w:tcPr>
            <w:tcW w:w="0" w:type="auto"/>
            <w:tcBorders>
              <w:bottom w:val="nil"/>
            </w:tcBorders>
            <w:vAlign w:val="center"/>
          </w:tcPr>
          <w:p w14:paraId="3BD2D216"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1.2.4.1.1</w:t>
            </w:r>
          </w:p>
        </w:tc>
        <w:tc>
          <w:tcPr>
            <w:tcW w:w="4109" w:type="dxa"/>
            <w:tcBorders>
              <w:bottom w:val="nil"/>
            </w:tcBorders>
            <w:vAlign w:val="center"/>
          </w:tcPr>
          <w:p w14:paraId="21D277A0" w14:textId="77777777" w:rsidR="00A4735C" w:rsidRPr="005732FC" w:rsidRDefault="00A4735C" w:rsidP="007F0C18">
            <w:pPr>
              <w:pStyle w:val="Texto"/>
              <w:spacing w:after="0" w:line="240" w:lineRule="exact"/>
              <w:ind w:firstLine="0"/>
              <w:jc w:val="left"/>
              <w:rPr>
                <w:color w:val="000000"/>
                <w:sz w:val="20"/>
                <w:lang w:val="es-MX"/>
              </w:rPr>
            </w:pPr>
            <w:r w:rsidRPr="005732FC">
              <w:rPr>
                <w:color w:val="000000"/>
                <w:sz w:val="20"/>
                <w:lang w:val="es-MX"/>
              </w:rPr>
              <w:t>Muebles de Oficina y Estantería</w:t>
            </w:r>
          </w:p>
        </w:tc>
        <w:tc>
          <w:tcPr>
            <w:tcW w:w="0" w:type="auto"/>
            <w:tcBorders>
              <w:bottom w:val="nil"/>
            </w:tcBorders>
            <w:vAlign w:val="center"/>
          </w:tcPr>
          <w:p w14:paraId="2244029A"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10</w:t>
            </w:r>
          </w:p>
        </w:tc>
        <w:tc>
          <w:tcPr>
            <w:tcW w:w="1958" w:type="dxa"/>
            <w:tcBorders>
              <w:bottom w:val="nil"/>
            </w:tcBorders>
            <w:vAlign w:val="center"/>
          </w:tcPr>
          <w:p w14:paraId="2624A0BE"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10</w:t>
            </w:r>
          </w:p>
        </w:tc>
      </w:tr>
      <w:tr w:rsidR="00A4735C" w:rsidRPr="005732FC" w14:paraId="30160023" w14:textId="77777777" w:rsidTr="00532E89">
        <w:trPr>
          <w:trHeight w:val="20"/>
        </w:trPr>
        <w:tc>
          <w:tcPr>
            <w:tcW w:w="0" w:type="auto"/>
            <w:tcBorders>
              <w:top w:val="nil"/>
              <w:bottom w:val="nil"/>
            </w:tcBorders>
            <w:vAlign w:val="center"/>
          </w:tcPr>
          <w:p w14:paraId="7697CCF7"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1.2.4.1.2</w:t>
            </w:r>
          </w:p>
        </w:tc>
        <w:tc>
          <w:tcPr>
            <w:tcW w:w="4109" w:type="dxa"/>
            <w:tcBorders>
              <w:top w:val="nil"/>
              <w:bottom w:val="nil"/>
            </w:tcBorders>
            <w:vAlign w:val="center"/>
          </w:tcPr>
          <w:p w14:paraId="389F1777" w14:textId="77777777" w:rsidR="00A4735C" w:rsidRPr="005732FC" w:rsidRDefault="00A4735C" w:rsidP="007F0C18">
            <w:pPr>
              <w:pStyle w:val="Texto"/>
              <w:spacing w:after="0" w:line="240" w:lineRule="exact"/>
              <w:ind w:firstLine="0"/>
              <w:jc w:val="left"/>
              <w:rPr>
                <w:color w:val="000000"/>
                <w:sz w:val="20"/>
                <w:lang w:val="es-MX"/>
              </w:rPr>
            </w:pPr>
            <w:r w:rsidRPr="005732FC">
              <w:rPr>
                <w:color w:val="000000"/>
                <w:sz w:val="20"/>
                <w:lang w:val="es-MX"/>
              </w:rPr>
              <w:t>Muebles, Excepto De Oficina Y Estantería</w:t>
            </w:r>
          </w:p>
        </w:tc>
        <w:tc>
          <w:tcPr>
            <w:tcW w:w="0" w:type="auto"/>
            <w:tcBorders>
              <w:top w:val="nil"/>
              <w:bottom w:val="nil"/>
            </w:tcBorders>
            <w:vAlign w:val="center"/>
          </w:tcPr>
          <w:p w14:paraId="4A541442"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10</w:t>
            </w:r>
          </w:p>
        </w:tc>
        <w:tc>
          <w:tcPr>
            <w:tcW w:w="1958" w:type="dxa"/>
            <w:tcBorders>
              <w:top w:val="nil"/>
              <w:bottom w:val="nil"/>
            </w:tcBorders>
            <w:vAlign w:val="center"/>
          </w:tcPr>
          <w:p w14:paraId="169A14A0"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10</w:t>
            </w:r>
          </w:p>
        </w:tc>
      </w:tr>
      <w:tr w:rsidR="00A4735C" w:rsidRPr="005732FC" w14:paraId="2D446C6D" w14:textId="77777777" w:rsidTr="00532E89">
        <w:trPr>
          <w:trHeight w:val="20"/>
        </w:trPr>
        <w:tc>
          <w:tcPr>
            <w:tcW w:w="0" w:type="auto"/>
            <w:tcBorders>
              <w:top w:val="nil"/>
              <w:bottom w:val="nil"/>
            </w:tcBorders>
            <w:vAlign w:val="center"/>
          </w:tcPr>
          <w:p w14:paraId="57101987"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1.2.4.1.3</w:t>
            </w:r>
          </w:p>
        </w:tc>
        <w:tc>
          <w:tcPr>
            <w:tcW w:w="4109" w:type="dxa"/>
            <w:tcBorders>
              <w:top w:val="nil"/>
              <w:bottom w:val="nil"/>
            </w:tcBorders>
            <w:vAlign w:val="center"/>
          </w:tcPr>
          <w:p w14:paraId="1FB02F94" w14:textId="77777777" w:rsidR="00A4735C" w:rsidRPr="005732FC" w:rsidRDefault="00A4735C" w:rsidP="007F0C18">
            <w:pPr>
              <w:pStyle w:val="Texto"/>
              <w:spacing w:after="0" w:line="240" w:lineRule="exact"/>
              <w:ind w:firstLine="0"/>
              <w:jc w:val="left"/>
              <w:rPr>
                <w:color w:val="000000"/>
                <w:sz w:val="20"/>
                <w:lang w:val="es-MX"/>
              </w:rPr>
            </w:pPr>
            <w:r w:rsidRPr="005732FC">
              <w:rPr>
                <w:color w:val="000000"/>
                <w:sz w:val="20"/>
                <w:lang w:val="es-MX"/>
              </w:rPr>
              <w:t>Equipo de Cómputo y de Tecnologías de la Información</w:t>
            </w:r>
          </w:p>
        </w:tc>
        <w:tc>
          <w:tcPr>
            <w:tcW w:w="0" w:type="auto"/>
            <w:tcBorders>
              <w:top w:val="nil"/>
              <w:bottom w:val="nil"/>
            </w:tcBorders>
            <w:vAlign w:val="center"/>
          </w:tcPr>
          <w:p w14:paraId="451E0AF2"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3</w:t>
            </w:r>
          </w:p>
        </w:tc>
        <w:tc>
          <w:tcPr>
            <w:tcW w:w="1958" w:type="dxa"/>
            <w:tcBorders>
              <w:top w:val="nil"/>
              <w:bottom w:val="nil"/>
            </w:tcBorders>
            <w:vAlign w:val="center"/>
          </w:tcPr>
          <w:p w14:paraId="2C96B903"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33.3</w:t>
            </w:r>
          </w:p>
        </w:tc>
      </w:tr>
      <w:tr w:rsidR="00A4735C" w:rsidRPr="005732FC" w14:paraId="28520432" w14:textId="77777777" w:rsidTr="00532E89">
        <w:trPr>
          <w:trHeight w:val="20"/>
        </w:trPr>
        <w:tc>
          <w:tcPr>
            <w:tcW w:w="0" w:type="auto"/>
            <w:tcBorders>
              <w:top w:val="nil"/>
              <w:bottom w:val="single" w:sz="6" w:space="0" w:color="auto"/>
            </w:tcBorders>
            <w:vAlign w:val="center"/>
          </w:tcPr>
          <w:p w14:paraId="35005E40"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1.2.4.1.9</w:t>
            </w:r>
          </w:p>
        </w:tc>
        <w:tc>
          <w:tcPr>
            <w:tcW w:w="4109" w:type="dxa"/>
            <w:tcBorders>
              <w:top w:val="nil"/>
              <w:bottom w:val="single" w:sz="6" w:space="0" w:color="auto"/>
            </w:tcBorders>
            <w:vAlign w:val="center"/>
          </w:tcPr>
          <w:p w14:paraId="6A2C901E" w14:textId="77777777" w:rsidR="00A4735C" w:rsidRPr="005732FC" w:rsidRDefault="00A4735C" w:rsidP="007F0C18">
            <w:pPr>
              <w:pStyle w:val="Texto"/>
              <w:spacing w:after="0" w:line="240" w:lineRule="exact"/>
              <w:ind w:firstLine="0"/>
              <w:jc w:val="left"/>
              <w:rPr>
                <w:color w:val="000000"/>
                <w:sz w:val="20"/>
                <w:lang w:val="es-MX"/>
              </w:rPr>
            </w:pPr>
            <w:r w:rsidRPr="005732FC">
              <w:rPr>
                <w:color w:val="000000"/>
                <w:sz w:val="20"/>
                <w:lang w:val="es-MX"/>
              </w:rPr>
              <w:t>Otros Mobiliarios y Equipos de Administración</w:t>
            </w:r>
          </w:p>
        </w:tc>
        <w:tc>
          <w:tcPr>
            <w:tcW w:w="0" w:type="auto"/>
            <w:tcBorders>
              <w:top w:val="nil"/>
              <w:bottom w:val="single" w:sz="6" w:space="0" w:color="auto"/>
            </w:tcBorders>
            <w:vAlign w:val="center"/>
          </w:tcPr>
          <w:p w14:paraId="4AA1CB0E"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10</w:t>
            </w:r>
          </w:p>
        </w:tc>
        <w:tc>
          <w:tcPr>
            <w:tcW w:w="1958" w:type="dxa"/>
            <w:tcBorders>
              <w:top w:val="nil"/>
              <w:bottom w:val="single" w:sz="6" w:space="0" w:color="auto"/>
            </w:tcBorders>
            <w:vAlign w:val="center"/>
          </w:tcPr>
          <w:p w14:paraId="3BF7B11A"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10</w:t>
            </w:r>
          </w:p>
        </w:tc>
      </w:tr>
      <w:tr w:rsidR="00A4735C" w:rsidRPr="005732FC" w14:paraId="58C9EFBE" w14:textId="77777777" w:rsidTr="00532E89">
        <w:trPr>
          <w:trHeight w:val="20"/>
        </w:trPr>
        <w:tc>
          <w:tcPr>
            <w:tcW w:w="0" w:type="auto"/>
            <w:tcBorders>
              <w:bottom w:val="single" w:sz="6" w:space="0" w:color="auto"/>
              <w:right w:val="nil"/>
            </w:tcBorders>
            <w:vAlign w:val="center"/>
          </w:tcPr>
          <w:p w14:paraId="6255853F" w14:textId="77777777" w:rsidR="00A4735C" w:rsidRPr="005732FC" w:rsidRDefault="00A4735C" w:rsidP="00A4735C">
            <w:pPr>
              <w:pStyle w:val="Texto"/>
              <w:spacing w:after="0" w:line="240" w:lineRule="exact"/>
              <w:ind w:firstLine="0"/>
              <w:rPr>
                <w:b/>
                <w:color w:val="000000"/>
                <w:sz w:val="20"/>
                <w:lang w:val="es-MX"/>
              </w:rPr>
            </w:pPr>
          </w:p>
        </w:tc>
        <w:tc>
          <w:tcPr>
            <w:tcW w:w="7812" w:type="dxa"/>
            <w:gridSpan w:val="3"/>
            <w:tcBorders>
              <w:left w:val="nil"/>
              <w:bottom w:val="single" w:sz="6" w:space="0" w:color="auto"/>
            </w:tcBorders>
            <w:vAlign w:val="center"/>
          </w:tcPr>
          <w:p w14:paraId="05E5B7D4" w14:textId="77777777" w:rsidR="00A4735C" w:rsidRPr="005732FC" w:rsidRDefault="00A4735C" w:rsidP="00A4735C">
            <w:pPr>
              <w:pStyle w:val="Texto"/>
              <w:spacing w:after="0" w:line="240" w:lineRule="exact"/>
              <w:ind w:firstLine="0"/>
              <w:rPr>
                <w:b/>
                <w:color w:val="000000"/>
                <w:sz w:val="20"/>
                <w:lang w:val="es-MX"/>
              </w:rPr>
            </w:pPr>
          </w:p>
        </w:tc>
      </w:tr>
      <w:tr w:rsidR="00A4735C" w:rsidRPr="005732FC" w14:paraId="6159AB33" w14:textId="77777777" w:rsidTr="00532E89">
        <w:trPr>
          <w:trHeight w:val="20"/>
        </w:trPr>
        <w:tc>
          <w:tcPr>
            <w:tcW w:w="0" w:type="auto"/>
            <w:tcBorders>
              <w:bottom w:val="single" w:sz="6" w:space="0" w:color="auto"/>
            </w:tcBorders>
            <w:vAlign w:val="center"/>
          </w:tcPr>
          <w:p w14:paraId="6D77AC28" w14:textId="77777777" w:rsidR="00A4735C" w:rsidRPr="005732FC" w:rsidRDefault="00A4735C" w:rsidP="00A4735C">
            <w:pPr>
              <w:pStyle w:val="Texto"/>
              <w:spacing w:after="0" w:line="240" w:lineRule="exact"/>
              <w:ind w:firstLine="0"/>
              <w:rPr>
                <w:b/>
                <w:color w:val="000000"/>
                <w:sz w:val="20"/>
                <w:lang w:val="es-MX"/>
              </w:rPr>
            </w:pPr>
            <w:r w:rsidRPr="005732FC">
              <w:rPr>
                <w:b/>
                <w:color w:val="000000"/>
                <w:sz w:val="20"/>
                <w:lang w:val="es-MX"/>
              </w:rPr>
              <w:t>1.2.4.2</w:t>
            </w:r>
          </w:p>
        </w:tc>
        <w:tc>
          <w:tcPr>
            <w:tcW w:w="7812" w:type="dxa"/>
            <w:gridSpan w:val="3"/>
            <w:tcBorders>
              <w:bottom w:val="single" w:sz="6" w:space="0" w:color="auto"/>
            </w:tcBorders>
            <w:vAlign w:val="center"/>
          </w:tcPr>
          <w:p w14:paraId="23146B00" w14:textId="77777777" w:rsidR="00A4735C" w:rsidRPr="005732FC" w:rsidRDefault="00A4735C" w:rsidP="00A4735C">
            <w:pPr>
              <w:pStyle w:val="Texto"/>
              <w:spacing w:after="0" w:line="240" w:lineRule="exact"/>
              <w:ind w:firstLine="0"/>
              <w:rPr>
                <w:color w:val="000000"/>
                <w:sz w:val="20"/>
                <w:lang w:val="es-MX"/>
              </w:rPr>
            </w:pPr>
            <w:r w:rsidRPr="005732FC">
              <w:rPr>
                <w:b/>
                <w:color w:val="000000"/>
                <w:sz w:val="20"/>
                <w:lang w:val="es-MX"/>
              </w:rPr>
              <w:t>Mobiliario y Equipo Educacional y Recreativo</w:t>
            </w:r>
          </w:p>
        </w:tc>
      </w:tr>
      <w:tr w:rsidR="00A4735C" w:rsidRPr="005732FC" w14:paraId="21986714" w14:textId="77777777" w:rsidTr="00532E89">
        <w:trPr>
          <w:trHeight w:val="20"/>
        </w:trPr>
        <w:tc>
          <w:tcPr>
            <w:tcW w:w="0" w:type="auto"/>
            <w:tcBorders>
              <w:bottom w:val="nil"/>
            </w:tcBorders>
            <w:vAlign w:val="center"/>
          </w:tcPr>
          <w:p w14:paraId="4809B950"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1.2.4.2.1</w:t>
            </w:r>
          </w:p>
        </w:tc>
        <w:tc>
          <w:tcPr>
            <w:tcW w:w="4109" w:type="dxa"/>
            <w:tcBorders>
              <w:bottom w:val="nil"/>
            </w:tcBorders>
            <w:vAlign w:val="center"/>
          </w:tcPr>
          <w:p w14:paraId="38172095" w14:textId="77777777" w:rsidR="00A4735C" w:rsidRPr="005732FC" w:rsidRDefault="00A4735C" w:rsidP="007F0C18">
            <w:pPr>
              <w:pStyle w:val="Texto"/>
              <w:spacing w:after="0" w:line="240" w:lineRule="exact"/>
              <w:ind w:firstLine="0"/>
              <w:jc w:val="left"/>
              <w:rPr>
                <w:color w:val="000000"/>
                <w:sz w:val="20"/>
                <w:lang w:val="es-MX"/>
              </w:rPr>
            </w:pPr>
            <w:r w:rsidRPr="005732FC">
              <w:rPr>
                <w:color w:val="000000"/>
                <w:sz w:val="20"/>
                <w:lang w:val="es-MX"/>
              </w:rPr>
              <w:t>Equipos y Aparatos Audiovisuales</w:t>
            </w:r>
          </w:p>
        </w:tc>
        <w:tc>
          <w:tcPr>
            <w:tcW w:w="0" w:type="auto"/>
            <w:tcBorders>
              <w:bottom w:val="nil"/>
            </w:tcBorders>
            <w:vAlign w:val="center"/>
          </w:tcPr>
          <w:p w14:paraId="6A49CAE5"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3</w:t>
            </w:r>
          </w:p>
        </w:tc>
        <w:tc>
          <w:tcPr>
            <w:tcW w:w="1958" w:type="dxa"/>
            <w:tcBorders>
              <w:bottom w:val="nil"/>
            </w:tcBorders>
            <w:vAlign w:val="center"/>
          </w:tcPr>
          <w:p w14:paraId="2BF99A12"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33.3</w:t>
            </w:r>
          </w:p>
        </w:tc>
      </w:tr>
      <w:tr w:rsidR="00A4735C" w:rsidRPr="005732FC" w14:paraId="6397BCAF" w14:textId="77777777" w:rsidTr="00532E89">
        <w:trPr>
          <w:trHeight w:val="20"/>
        </w:trPr>
        <w:tc>
          <w:tcPr>
            <w:tcW w:w="0" w:type="auto"/>
            <w:tcBorders>
              <w:top w:val="nil"/>
              <w:bottom w:val="nil"/>
            </w:tcBorders>
            <w:vAlign w:val="center"/>
          </w:tcPr>
          <w:p w14:paraId="6EB72921"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1.2.4.2.2</w:t>
            </w:r>
          </w:p>
        </w:tc>
        <w:tc>
          <w:tcPr>
            <w:tcW w:w="4109" w:type="dxa"/>
            <w:tcBorders>
              <w:top w:val="nil"/>
              <w:bottom w:val="nil"/>
            </w:tcBorders>
            <w:vAlign w:val="center"/>
          </w:tcPr>
          <w:p w14:paraId="03B1C00B" w14:textId="77777777" w:rsidR="00A4735C" w:rsidRPr="005732FC" w:rsidRDefault="00A4735C" w:rsidP="007F0C18">
            <w:pPr>
              <w:pStyle w:val="Texto"/>
              <w:spacing w:after="0" w:line="240" w:lineRule="exact"/>
              <w:ind w:firstLine="0"/>
              <w:jc w:val="left"/>
              <w:rPr>
                <w:color w:val="000000"/>
                <w:sz w:val="20"/>
                <w:lang w:val="es-MX"/>
              </w:rPr>
            </w:pPr>
            <w:r w:rsidRPr="005732FC">
              <w:rPr>
                <w:color w:val="000000"/>
                <w:sz w:val="20"/>
                <w:lang w:val="es-MX"/>
              </w:rPr>
              <w:t>Aparatos Deportivos</w:t>
            </w:r>
          </w:p>
        </w:tc>
        <w:tc>
          <w:tcPr>
            <w:tcW w:w="0" w:type="auto"/>
            <w:tcBorders>
              <w:top w:val="nil"/>
              <w:bottom w:val="nil"/>
            </w:tcBorders>
            <w:vAlign w:val="center"/>
          </w:tcPr>
          <w:p w14:paraId="55210C95"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5</w:t>
            </w:r>
          </w:p>
        </w:tc>
        <w:tc>
          <w:tcPr>
            <w:tcW w:w="1958" w:type="dxa"/>
            <w:tcBorders>
              <w:top w:val="nil"/>
              <w:bottom w:val="nil"/>
            </w:tcBorders>
            <w:vAlign w:val="center"/>
          </w:tcPr>
          <w:p w14:paraId="6FEC9EDF"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20</w:t>
            </w:r>
          </w:p>
        </w:tc>
      </w:tr>
      <w:tr w:rsidR="00A4735C" w:rsidRPr="005732FC" w14:paraId="421C43ED" w14:textId="77777777" w:rsidTr="00532E89">
        <w:trPr>
          <w:trHeight w:val="20"/>
        </w:trPr>
        <w:tc>
          <w:tcPr>
            <w:tcW w:w="0" w:type="auto"/>
            <w:tcBorders>
              <w:top w:val="nil"/>
              <w:bottom w:val="nil"/>
            </w:tcBorders>
            <w:vAlign w:val="center"/>
          </w:tcPr>
          <w:p w14:paraId="4F2E6029"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1.2.4.2.3</w:t>
            </w:r>
          </w:p>
        </w:tc>
        <w:tc>
          <w:tcPr>
            <w:tcW w:w="4109" w:type="dxa"/>
            <w:tcBorders>
              <w:top w:val="nil"/>
              <w:bottom w:val="nil"/>
            </w:tcBorders>
            <w:vAlign w:val="center"/>
          </w:tcPr>
          <w:p w14:paraId="412BF5E3" w14:textId="77777777" w:rsidR="00A4735C" w:rsidRPr="005732FC" w:rsidRDefault="00A4735C" w:rsidP="007F0C18">
            <w:pPr>
              <w:pStyle w:val="Texto"/>
              <w:spacing w:after="0" w:line="240" w:lineRule="exact"/>
              <w:ind w:firstLine="0"/>
              <w:jc w:val="left"/>
              <w:rPr>
                <w:color w:val="000000"/>
                <w:sz w:val="20"/>
                <w:lang w:val="es-MX"/>
              </w:rPr>
            </w:pPr>
            <w:r w:rsidRPr="005732FC">
              <w:rPr>
                <w:color w:val="000000"/>
                <w:sz w:val="20"/>
                <w:lang w:val="es-MX"/>
              </w:rPr>
              <w:t>Cámaras Fotográficas y de Video</w:t>
            </w:r>
          </w:p>
        </w:tc>
        <w:tc>
          <w:tcPr>
            <w:tcW w:w="0" w:type="auto"/>
            <w:tcBorders>
              <w:top w:val="nil"/>
              <w:bottom w:val="nil"/>
            </w:tcBorders>
            <w:vAlign w:val="center"/>
          </w:tcPr>
          <w:p w14:paraId="4E84DC02"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3</w:t>
            </w:r>
          </w:p>
        </w:tc>
        <w:tc>
          <w:tcPr>
            <w:tcW w:w="1958" w:type="dxa"/>
            <w:tcBorders>
              <w:top w:val="nil"/>
              <w:bottom w:val="nil"/>
            </w:tcBorders>
            <w:vAlign w:val="center"/>
          </w:tcPr>
          <w:p w14:paraId="59F90AB2"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33.3</w:t>
            </w:r>
          </w:p>
        </w:tc>
      </w:tr>
      <w:tr w:rsidR="00A4735C" w:rsidRPr="005732FC" w14:paraId="0A1397EF" w14:textId="77777777" w:rsidTr="00532E89">
        <w:trPr>
          <w:trHeight w:val="20"/>
        </w:trPr>
        <w:tc>
          <w:tcPr>
            <w:tcW w:w="0" w:type="auto"/>
            <w:tcBorders>
              <w:top w:val="nil"/>
            </w:tcBorders>
            <w:vAlign w:val="center"/>
          </w:tcPr>
          <w:p w14:paraId="5166BF33"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1.2.4.2.9</w:t>
            </w:r>
          </w:p>
        </w:tc>
        <w:tc>
          <w:tcPr>
            <w:tcW w:w="4109" w:type="dxa"/>
            <w:tcBorders>
              <w:top w:val="nil"/>
            </w:tcBorders>
            <w:vAlign w:val="center"/>
          </w:tcPr>
          <w:p w14:paraId="6DC1FB24" w14:textId="77777777" w:rsidR="00A4735C" w:rsidRPr="005732FC" w:rsidRDefault="00A4735C" w:rsidP="007F0C18">
            <w:pPr>
              <w:pStyle w:val="Texto"/>
              <w:spacing w:after="0" w:line="240" w:lineRule="exact"/>
              <w:ind w:firstLine="0"/>
              <w:jc w:val="left"/>
              <w:rPr>
                <w:color w:val="000000"/>
                <w:sz w:val="20"/>
                <w:lang w:val="es-MX"/>
              </w:rPr>
            </w:pPr>
            <w:r w:rsidRPr="005732FC">
              <w:rPr>
                <w:color w:val="000000"/>
                <w:sz w:val="20"/>
                <w:lang w:val="es-MX"/>
              </w:rPr>
              <w:t>Otro Mobiliario y Equipo Educacional y Recreativo</w:t>
            </w:r>
          </w:p>
        </w:tc>
        <w:tc>
          <w:tcPr>
            <w:tcW w:w="0" w:type="auto"/>
            <w:tcBorders>
              <w:top w:val="nil"/>
            </w:tcBorders>
            <w:vAlign w:val="center"/>
          </w:tcPr>
          <w:p w14:paraId="45CC7855"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5</w:t>
            </w:r>
          </w:p>
        </w:tc>
        <w:tc>
          <w:tcPr>
            <w:tcW w:w="1958" w:type="dxa"/>
            <w:tcBorders>
              <w:top w:val="nil"/>
            </w:tcBorders>
            <w:vAlign w:val="center"/>
          </w:tcPr>
          <w:p w14:paraId="50313037"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20</w:t>
            </w:r>
          </w:p>
        </w:tc>
      </w:tr>
      <w:tr w:rsidR="00A4735C" w:rsidRPr="005732FC" w14:paraId="37412940" w14:textId="77777777" w:rsidTr="00532E89">
        <w:trPr>
          <w:trHeight w:val="20"/>
        </w:trPr>
        <w:tc>
          <w:tcPr>
            <w:tcW w:w="8735" w:type="dxa"/>
            <w:gridSpan w:val="4"/>
            <w:vAlign w:val="center"/>
          </w:tcPr>
          <w:p w14:paraId="2CB85928" w14:textId="77777777" w:rsidR="00A4735C" w:rsidRPr="005732FC" w:rsidRDefault="00A4735C" w:rsidP="00A4735C">
            <w:pPr>
              <w:pStyle w:val="Texto"/>
              <w:spacing w:after="0" w:line="240" w:lineRule="exact"/>
              <w:ind w:firstLine="0"/>
              <w:rPr>
                <w:color w:val="000000"/>
                <w:sz w:val="20"/>
                <w:lang w:val="es-MX"/>
              </w:rPr>
            </w:pPr>
          </w:p>
        </w:tc>
      </w:tr>
      <w:tr w:rsidR="00A4735C" w:rsidRPr="005732FC" w14:paraId="79CD1B4D" w14:textId="77777777" w:rsidTr="00532E89">
        <w:trPr>
          <w:trHeight w:val="20"/>
        </w:trPr>
        <w:tc>
          <w:tcPr>
            <w:tcW w:w="0" w:type="auto"/>
            <w:tcBorders>
              <w:bottom w:val="single" w:sz="6" w:space="0" w:color="auto"/>
            </w:tcBorders>
            <w:vAlign w:val="center"/>
          </w:tcPr>
          <w:p w14:paraId="59D84E4C" w14:textId="77777777" w:rsidR="00A4735C" w:rsidRPr="005732FC" w:rsidRDefault="00A4735C" w:rsidP="00A4735C">
            <w:pPr>
              <w:pStyle w:val="Texto"/>
              <w:spacing w:after="0" w:line="240" w:lineRule="exact"/>
              <w:ind w:firstLine="0"/>
              <w:rPr>
                <w:b/>
                <w:color w:val="000000"/>
                <w:sz w:val="20"/>
                <w:lang w:val="es-MX"/>
              </w:rPr>
            </w:pPr>
            <w:r w:rsidRPr="005732FC">
              <w:rPr>
                <w:b/>
                <w:color w:val="000000"/>
                <w:sz w:val="20"/>
                <w:lang w:val="es-MX"/>
              </w:rPr>
              <w:t>1.2.4.3</w:t>
            </w:r>
          </w:p>
        </w:tc>
        <w:tc>
          <w:tcPr>
            <w:tcW w:w="7812" w:type="dxa"/>
            <w:gridSpan w:val="3"/>
            <w:tcBorders>
              <w:bottom w:val="single" w:sz="6" w:space="0" w:color="auto"/>
            </w:tcBorders>
            <w:vAlign w:val="center"/>
          </w:tcPr>
          <w:p w14:paraId="5A408F7A" w14:textId="77777777" w:rsidR="00A4735C" w:rsidRPr="005732FC" w:rsidRDefault="00A4735C" w:rsidP="00A4735C">
            <w:pPr>
              <w:pStyle w:val="Texto"/>
              <w:spacing w:after="0" w:line="240" w:lineRule="exact"/>
              <w:ind w:firstLine="0"/>
              <w:rPr>
                <w:color w:val="000000"/>
                <w:sz w:val="20"/>
                <w:lang w:val="es-MX"/>
              </w:rPr>
            </w:pPr>
            <w:r w:rsidRPr="005732FC">
              <w:rPr>
                <w:b/>
                <w:color w:val="000000"/>
                <w:sz w:val="20"/>
                <w:lang w:val="es-MX"/>
              </w:rPr>
              <w:t>Equipo e Instrumental Médico y de Laboratorio</w:t>
            </w:r>
          </w:p>
        </w:tc>
      </w:tr>
      <w:tr w:rsidR="00A4735C" w:rsidRPr="005732FC" w14:paraId="3762164A" w14:textId="77777777" w:rsidTr="00532E89">
        <w:trPr>
          <w:trHeight w:val="20"/>
        </w:trPr>
        <w:tc>
          <w:tcPr>
            <w:tcW w:w="0" w:type="auto"/>
            <w:tcBorders>
              <w:bottom w:val="nil"/>
            </w:tcBorders>
            <w:vAlign w:val="center"/>
          </w:tcPr>
          <w:p w14:paraId="4C9D4CF6"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1.2.4.3.1</w:t>
            </w:r>
          </w:p>
        </w:tc>
        <w:tc>
          <w:tcPr>
            <w:tcW w:w="4109" w:type="dxa"/>
            <w:tcBorders>
              <w:bottom w:val="nil"/>
            </w:tcBorders>
            <w:vAlign w:val="center"/>
          </w:tcPr>
          <w:p w14:paraId="499E5A19"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Equipo Médico y de Laboratorio</w:t>
            </w:r>
          </w:p>
        </w:tc>
        <w:tc>
          <w:tcPr>
            <w:tcW w:w="0" w:type="auto"/>
            <w:tcBorders>
              <w:bottom w:val="nil"/>
            </w:tcBorders>
            <w:vAlign w:val="center"/>
          </w:tcPr>
          <w:p w14:paraId="5AF35E07"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5</w:t>
            </w:r>
          </w:p>
        </w:tc>
        <w:tc>
          <w:tcPr>
            <w:tcW w:w="1958" w:type="dxa"/>
            <w:tcBorders>
              <w:bottom w:val="nil"/>
            </w:tcBorders>
            <w:vAlign w:val="center"/>
          </w:tcPr>
          <w:p w14:paraId="456B106E"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20</w:t>
            </w:r>
          </w:p>
        </w:tc>
      </w:tr>
      <w:tr w:rsidR="00A4735C" w:rsidRPr="005732FC" w14:paraId="6AA16627" w14:textId="77777777" w:rsidTr="00532E89">
        <w:trPr>
          <w:trHeight w:val="20"/>
        </w:trPr>
        <w:tc>
          <w:tcPr>
            <w:tcW w:w="0" w:type="auto"/>
            <w:tcBorders>
              <w:top w:val="nil"/>
            </w:tcBorders>
            <w:vAlign w:val="center"/>
          </w:tcPr>
          <w:p w14:paraId="48FDF5EA"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1.2.4.3.2</w:t>
            </w:r>
          </w:p>
        </w:tc>
        <w:tc>
          <w:tcPr>
            <w:tcW w:w="4109" w:type="dxa"/>
            <w:tcBorders>
              <w:top w:val="nil"/>
            </w:tcBorders>
            <w:vAlign w:val="center"/>
          </w:tcPr>
          <w:p w14:paraId="51CFF476"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Instrumental Médico y de Laboratorio</w:t>
            </w:r>
          </w:p>
        </w:tc>
        <w:tc>
          <w:tcPr>
            <w:tcW w:w="0" w:type="auto"/>
            <w:tcBorders>
              <w:top w:val="nil"/>
            </w:tcBorders>
            <w:vAlign w:val="center"/>
          </w:tcPr>
          <w:p w14:paraId="31E246A2"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5</w:t>
            </w:r>
          </w:p>
        </w:tc>
        <w:tc>
          <w:tcPr>
            <w:tcW w:w="1958" w:type="dxa"/>
            <w:tcBorders>
              <w:top w:val="nil"/>
            </w:tcBorders>
            <w:vAlign w:val="center"/>
          </w:tcPr>
          <w:p w14:paraId="50BC80AE"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20</w:t>
            </w:r>
          </w:p>
        </w:tc>
      </w:tr>
      <w:tr w:rsidR="00A4735C" w:rsidRPr="005732FC" w14:paraId="387AB724" w14:textId="77777777" w:rsidTr="00532E89">
        <w:trPr>
          <w:trHeight w:val="20"/>
        </w:trPr>
        <w:tc>
          <w:tcPr>
            <w:tcW w:w="8735" w:type="dxa"/>
            <w:gridSpan w:val="4"/>
            <w:vAlign w:val="center"/>
          </w:tcPr>
          <w:p w14:paraId="4CD8E94B" w14:textId="77777777" w:rsidR="00A4735C" w:rsidRPr="005732FC" w:rsidRDefault="00A4735C" w:rsidP="00A4735C">
            <w:pPr>
              <w:pStyle w:val="Texto"/>
              <w:spacing w:after="0" w:line="240" w:lineRule="exact"/>
              <w:ind w:firstLine="0"/>
              <w:rPr>
                <w:color w:val="000000"/>
                <w:sz w:val="20"/>
                <w:lang w:val="es-MX"/>
              </w:rPr>
            </w:pPr>
          </w:p>
        </w:tc>
      </w:tr>
      <w:tr w:rsidR="00A4735C" w:rsidRPr="005732FC" w14:paraId="07F96AA7" w14:textId="77777777" w:rsidTr="00532E89">
        <w:trPr>
          <w:trHeight w:val="20"/>
        </w:trPr>
        <w:tc>
          <w:tcPr>
            <w:tcW w:w="0" w:type="auto"/>
            <w:tcBorders>
              <w:bottom w:val="single" w:sz="6" w:space="0" w:color="auto"/>
            </w:tcBorders>
            <w:vAlign w:val="center"/>
          </w:tcPr>
          <w:p w14:paraId="56D0B233" w14:textId="77777777" w:rsidR="00A4735C" w:rsidRPr="005732FC" w:rsidRDefault="00A4735C" w:rsidP="00A4735C">
            <w:pPr>
              <w:pStyle w:val="Texto"/>
              <w:spacing w:after="0" w:line="240" w:lineRule="exact"/>
              <w:ind w:firstLine="0"/>
              <w:rPr>
                <w:b/>
                <w:color w:val="000000"/>
                <w:sz w:val="20"/>
                <w:lang w:val="es-MX"/>
              </w:rPr>
            </w:pPr>
            <w:r w:rsidRPr="005732FC">
              <w:rPr>
                <w:b/>
                <w:color w:val="000000"/>
                <w:sz w:val="20"/>
                <w:lang w:val="es-MX"/>
              </w:rPr>
              <w:t>1.2.4.4</w:t>
            </w:r>
          </w:p>
        </w:tc>
        <w:tc>
          <w:tcPr>
            <w:tcW w:w="7812" w:type="dxa"/>
            <w:gridSpan w:val="3"/>
            <w:tcBorders>
              <w:bottom w:val="single" w:sz="6" w:space="0" w:color="auto"/>
            </w:tcBorders>
            <w:vAlign w:val="center"/>
          </w:tcPr>
          <w:p w14:paraId="1F512B5E" w14:textId="77777777" w:rsidR="00A4735C" w:rsidRPr="005732FC" w:rsidRDefault="00A4735C" w:rsidP="00A4735C">
            <w:pPr>
              <w:pStyle w:val="Texto"/>
              <w:spacing w:after="0" w:line="240" w:lineRule="exact"/>
              <w:ind w:firstLine="0"/>
              <w:rPr>
                <w:color w:val="000000"/>
                <w:sz w:val="20"/>
                <w:lang w:val="es-MX"/>
              </w:rPr>
            </w:pPr>
            <w:r w:rsidRPr="005732FC">
              <w:rPr>
                <w:b/>
                <w:color w:val="000000"/>
                <w:sz w:val="20"/>
                <w:lang w:val="es-MX"/>
              </w:rPr>
              <w:t>Equipo de Transporte</w:t>
            </w:r>
          </w:p>
        </w:tc>
      </w:tr>
      <w:tr w:rsidR="00A4735C" w:rsidRPr="005732FC" w14:paraId="47A05FC1" w14:textId="77777777" w:rsidTr="00532E89">
        <w:trPr>
          <w:trHeight w:val="20"/>
        </w:trPr>
        <w:tc>
          <w:tcPr>
            <w:tcW w:w="0" w:type="auto"/>
            <w:tcBorders>
              <w:bottom w:val="nil"/>
            </w:tcBorders>
            <w:vAlign w:val="center"/>
          </w:tcPr>
          <w:p w14:paraId="067D304F"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1.2.4.4.1</w:t>
            </w:r>
          </w:p>
        </w:tc>
        <w:tc>
          <w:tcPr>
            <w:tcW w:w="4109" w:type="dxa"/>
            <w:tcBorders>
              <w:bottom w:val="nil"/>
            </w:tcBorders>
            <w:vAlign w:val="center"/>
          </w:tcPr>
          <w:p w14:paraId="0BB2FD8D"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Automóviles y Equipo Terrestre</w:t>
            </w:r>
          </w:p>
        </w:tc>
        <w:tc>
          <w:tcPr>
            <w:tcW w:w="0" w:type="auto"/>
            <w:tcBorders>
              <w:bottom w:val="nil"/>
            </w:tcBorders>
            <w:vAlign w:val="center"/>
          </w:tcPr>
          <w:p w14:paraId="6CB5BC33"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5</w:t>
            </w:r>
          </w:p>
        </w:tc>
        <w:tc>
          <w:tcPr>
            <w:tcW w:w="1958" w:type="dxa"/>
            <w:tcBorders>
              <w:bottom w:val="nil"/>
            </w:tcBorders>
            <w:vAlign w:val="center"/>
          </w:tcPr>
          <w:p w14:paraId="1301D04A"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20</w:t>
            </w:r>
          </w:p>
        </w:tc>
      </w:tr>
      <w:tr w:rsidR="00A4735C" w:rsidRPr="005732FC" w14:paraId="00BC6756" w14:textId="77777777" w:rsidTr="00532E89">
        <w:trPr>
          <w:trHeight w:val="20"/>
        </w:trPr>
        <w:tc>
          <w:tcPr>
            <w:tcW w:w="0" w:type="auto"/>
            <w:tcBorders>
              <w:top w:val="nil"/>
              <w:bottom w:val="nil"/>
            </w:tcBorders>
            <w:vAlign w:val="center"/>
          </w:tcPr>
          <w:p w14:paraId="6E8643C8"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1.2.4.4.2</w:t>
            </w:r>
          </w:p>
        </w:tc>
        <w:tc>
          <w:tcPr>
            <w:tcW w:w="4109" w:type="dxa"/>
            <w:tcBorders>
              <w:top w:val="nil"/>
              <w:bottom w:val="nil"/>
            </w:tcBorders>
            <w:vAlign w:val="center"/>
          </w:tcPr>
          <w:p w14:paraId="2FE3333D" w14:textId="77777777" w:rsidR="00A4735C" w:rsidRPr="005732FC" w:rsidRDefault="00A4735C" w:rsidP="00A4735C">
            <w:pPr>
              <w:pStyle w:val="Texto"/>
              <w:spacing w:after="0" w:line="240" w:lineRule="exact"/>
              <w:ind w:firstLine="0"/>
              <w:rPr>
                <w:color w:val="000000"/>
                <w:sz w:val="20"/>
                <w:lang w:val="es-MX"/>
              </w:rPr>
            </w:pPr>
            <w:r w:rsidRPr="005732FC">
              <w:rPr>
                <w:color w:val="000000"/>
                <w:sz w:val="20"/>
                <w:lang w:val="es-MX"/>
              </w:rPr>
              <w:t>Carrocerías y Remolques</w:t>
            </w:r>
          </w:p>
        </w:tc>
        <w:tc>
          <w:tcPr>
            <w:tcW w:w="0" w:type="auto"/>
            <w:tcBorders>
              <w:top w:val="nil"/>
              <w:bottom w:val="nil"/>
            </w:tcBorders>
            <w:vAlign w:val="center"/>
          </w:tcPr>
          <w:p w14:paraId="3A316E12"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5</w:t>
            </w:r>
          </w:p>
        </w:tc>
        <w:tc>
          <w:tcPr>
            <w:tcW w:w="1958" w:type="dxa"/>
            <w:tcBorders>
              <w:top w:val="nil"/>
              <w:bottom w:val="nil"/>
            </w:tcBorders>
            <w:vAlign w:val="center"/>
          </w:tcPr>
          <w:p w14:paraId="15588A40" w14:textId="77777777" w:rsidR="00A4735C" w:rsidRPr="005732FC" w:rsidRDefault="00A4735C" w:rsidP="00A4735C">
            <w:pPr>
              <w:pStyle w:val="Texto"/>
              <w:spacing w:after="0" w:line="240" w:lineRule="exact"/>
              <w:ind w:firstLine="0"/>
              <w:jc w:val="center"/>
              <w:rPr>
                <w:color w:val="000000"/>
                <w:sz w:val="20"/>
                <w:lang w:val="es-MX"/>
              </w:rPr>
            </w:pPr>
            <w:r w:rsidRPr="005732FC">
              <w:rPr>
                <w:color w:val="000000"/>
                <w:sz w:val="20"/>
                <w:lang w:val="es-MX"/>
              </w:rPr>
              <w:t>20</w:t>
            </w:r>
          </w:p>
        </w:tc>
      </w:tr>
      <w:tr w:rsidR="00A4735C" w:rsidRPr="005732FC" w14:paraId="1763AD36" w14:textId="77777777" w:rsidTr="00532E89">
        <w:trPr>
          <w:trHeight w:val="20"/>
        </w:trPr>
        <w:tc>
          <w:tcPr>
            <w:tcW w:w="0" w:type="auto"/>
            <w:tcBorders>
              <w:top w:val="nil"/>
            </w:tcBorders>
            <w:vAlign w:val="center"/>
          </w:tcPr>
          <w:p w14:paraId="56D4F68D" w14:textId="77777777" w:rsidR="00A4735C" w:rsidRPr="005732FC" w:rsidRDefault="00A4735C" w:rsidP="00A4735C">
            <w:pPr>
              <w:pStyle w:val="Texto"/>
              <w:spacing w:after="0" w:line="226" w:lineRule="exact"/>
              <w:ind w:firstLine="0"/>
              <w:rPr>
                <w:color w:val="000000"/>
                <w:sz w:val="20"/>
                <w:lang w:val="es-MX"/>
              </w:rPr>
            </w:pPr>
            <w:r w:rsidRPr="005732FC">
              <w:rPr>
                <w:color w:val="000000"/>
                <w:sz w:val="20"/>
                <w:lang w:val="es-MX"/>
              </w:rPr>
              <w:t>1.2.4.4.9</w:t>
            </w:r>
          </w:p>
        </w:tc>
        <w:tc>
          <w:tcPr>
            <w:tcW w:w="4109" w:type="dxa"/>
            <w:tcBorders>
              <w:top w:val="nil"/>
            </w:tcBorders>
            <w:vAlign w:val="center"/>
          </w:tcPr>
          <w:p w14:paraId="430374C9" w14:textId="77777777" w:rsidR="00A4735C" w:rsidRPr="005732FC" w:rsidRDefault="00A4735C" w:rsidP="00A4735C">
            <w:pPr>
              <w:pStyle w:val="Texto"/>
              <w:spacing w:after="0" w:line="226" w:lineRule="exact"/>
              <w:ind w:firstLine="0"/>
              <w:rPr>
                <w:color w:val="000000"/>
                <w:sz w:val="20"/>
                <w:lang w:val="es-MX"/>
              </w:rPr>
            </w:pPr>
            <w:r w:rsidRPr="005732FC">
              <w:rPr>
                <w:color w:val="000000"/>
                <w:sz w:val="20"/>
                <w:lang w:val="es-MX"/>
              </w:rPr>
              <w:t>Otros Equipos de Transporte</w:t>
            </w:r>
          </w:p>
        </w:tc>
        <w:tc>
          <w:tcPr>
            <w:tcW w:w="0" w:type="auto"/>
            <w:tcBorders>
              <w:top w:val="nil"/>
            </w:tcBorders>
            <w:vAlign w:val="center"/>
          </w:tcPr>
          <w:p w14:paraId="76A42818"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5</w:t>
            </w:r>
          </w:p>
        </w:tc>
        <w:tc>
          <w:tcPr>
            <w:tcW w:w="1958" w:type="dxa"/>
            <w:tcBorders>
              <w:top w:val="nil"/>
            </w:tcBorders>
            <w:vAlign w:val="center"/>
          </w:tcPr>
          <w:p w14:paraId="12A32233"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20</w:t>
            </w:r>
          </w:p>
        </w:tc>
      </w:tr>
      <w:tr w:rsidR="00A4735C" w:rsidRPr="005732FC" w14:paraId="0FAA93A9" w14:textId="77777777" w:rsidTr="00532E89">
        <w:trPr>
          <w:trHeight w:val="20"/>
        </w:trPr>
        <w:tc>
          <w:tcPr>
            <w:tcW w:w="8735" w:type="dxa"/>
            <w:gridSpan w:val="4"/>
            <w:vAlign w:val="center"/>
          </w:tcPr>
          <w:p w14:paraId="65F8AA4F" w14:textId="77777777" w:rsidR="00A4735C" w:rsidRPr="005732FC" w:rsidRDefault="00A4735C" w:rsidP="00A4735C">
            <w:pPr>
              <w:pStyle w:val="Texto"/>
              <w:spacing w:after="0" w:line="226" w:lineRule="exact"/>
              <w:ind w:firstLine="0"/>
              <w:rPr>
                <w:color w:val="000000"/>
                <w:sz w:val="20"/>
                <w:lang w:val="es-MX"/>
              </w:rPr>
            </w:pPr>
          </w:p>
        </w:tc>
      </w:tr>
      <w:tr w:rsidR="00A4735C" w:rsidRPr="005732FC" w14:paraId="5F7DC1EB" w14:textId="77777777" w:rsidTr="00532E89">
        <w:trPr>
          <w:trHeight w:val="20"/>
        </w:trPr>
        <w:tc>
          <w:tcPr>
            <w:tcW w:w="0" w:type="auto"/>
            <w:tcBorders>
              <w:bottom w:val="single" w:sz="6" w:space="0" w:color="auto"/>
            </w:tcBorders>
            <w:vAlign w:val="center"/>
          </w:tcPr>
          <w:p w14:paraId="1DEF70A5" w14:textId="77777777" w:rsidR="00A4735C" w:rsidRPr="005732FC" w:rsidRDefault="00A4735C" w:rsidP="00A4735C">
            <w:pPr>
              <w:pStyle w:val="Texto"/>
              <w:spacing w:after="0" w:line="226" w:lineRule="exact"/>
              <w:ind w:firstLine="0"/>
              <w:rPr>
                <w:b/>
                <w:color w:val="000000"/>
                <w:sz w:val="20"/>
                <w:lang w:val="es-MX"/>
              </w:rPr>
            </w:pPr>
            <w:r w:rsidRPr="005732FC">
              <w:rPr>
                <w:b/>
                <w:color w:val="000000"/>
                <w:sz w:val="20"/>
                <w:lang w:val="es-MX"/>
              </w:rPr>
              <w:t>1.2.4.6</w:t>
            </w:r>
          </w:p>
        </w:tc>
        <w:tc>
          <w:tcPr>
            <w:tcW w:w="7812" w:type="dxa"/>
            <w:gridSpan w:val="3"/>
            <w:tcBorders>
              <w:bottom w:val="single" w:sz="6" w:space="0" w:color="auto"/>
            </w:tcBorders>
            <w:vAlign w:val="center"/>
          </w:tcPr>
          <w:p w14:paraId="05C130E7" w14:textId="77777777" w:rsidR="00A4735C" w:rsidRPr="005732FC" w:rsidRDefault="00A4735C" w:rsidP="00A4735C">
            <w:pPr>
              <w:pStyle w:val="Texto"/>
              <w:spacing w:after="0" w:line="226" w:lineRule="exact"/>
              <w:ind w:firstLine="0"/>
              <w:rPr>
                <w:color w:val="000000"/>
                <w:sz w:val="20"/>
                <w:lang w:val="es-MX"/>
              </w:rPr>
            </w:pPr>
            <w:r w:rsidRPr="005732FC">
              <w:rPr>
                <w:b/>
                <w:color w:val="000000"/>
                <w:sz w:val="20"/>
                <w:lang w:val="es-MX"/>
              </w:rPr>
              <w:t>Maquinaria, Otros Equipos y Herramientas</w:t>
            </w:r>
          </w:p>
        </w:tc>
      </w:tr>
      <w:tr w:rsidR="00A4735C" w:rsidRPr="005732FC" w14:paraId="3142DFBA" w14:textId="77777777" w:rsidTr="00532E89">
        <w:trPr>
          <w:trHeight w:val="20"/>
        </w:trPr>
        <w:tc>
          <w:tcPr>
            <w:tcW w:w="0" w:type="auto"/>
            <w:tcBorders>
              <w:bottom w:val="nil"/>
            </w:tcBorders>
            <w:vAlign w:val="center"/>
          </w:tcPr>
          <w:p w14:paraId="76853074" w14:textId="77777777" w:rsidR="00A4735C" w:rsidRPr="005732FC" w:rsidRDefault="00A4735C" w:rsidP="00A4735C">
            <w:pPr>
              <w:pStyle w:val="Texto"/>
              <w:spacing w:after="0" w:line="226" w:lineRule="exact"/>
              <w:ind w:firstLine="0"/>
              <w:rPr>
                <w:color w:val="000000"/>
                <w:sz w:val="20"/>
                <w:lang w:val="es-MX"/>
              </w:rPr>
            </w:pPr>
            <w:r w:rsidRPr="005732FC">
              <w:rPr>
                <w:color w:val="000000"/>
                <w:sz w:val="20"/>
                <w:lang w:val="es-MX"/>
              </w:rPr>
              <w:t>1.2.4.6.1</w:t>
            </w:r>
          </w:p>
        </w:tc>
        <w:tc>
          <w:tcPr>
            <w:tcW w:w="4109" w:type="dxa"/>
            <w:tcBorders>
              <w:bottom w:val="nil"/>
            </w:tcBorders>
            <w:vAlign w:val="center"/>
          </w:tcPr>
          <w:p w14:paraId="6EA0DB68" w14:textId="77777777" w:rsidR="00A4735C" w:rsidRPr="005732FC" w:rsidRDefault="00A4735C" w:rsidP="007F0C18">
            <w:pPr>
              <w:pStyle w:val="Texto"/>
              <w:spacing w:after="0" w:line="226" w:lineRule="exact"/>
              <w:ind w:firstLine="0"/>
              <w:jc w:val="left"/>
              <w:rPr>
                <w:color w:val="000000"/>
                <w:sz w:val="20"/>
                <w:lang w:val="es-MX"/>
              </w:rPr>
            </w:pPr>
            <w:r w:rsidRPr="005732FC">
              <w:rPr>
                <w:color w:val="000000"/>
                <w:sz w:val="20"/>
                <w:lang w:val="es-MX"/>
              </w:rPr>
              <w:t>Maquinaria y Equipo Agropecuario</w:t>
            </w:r>
          </w:p>
        </w:tc>
        <w:tc>
          <w:tcPr>
            <w:tcW w:w="0" w:type="auto"/>
            <w:tcBorders>
              <w:bottom w:val="nil"/>
            </w:tcBorders>
            <w:vAlign w:val="center"/>
          </w:tcPr>
          <w:p w14:paraId="2C0E1BFE"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c>
          <w:tcPr>
            <w:tcW w:w="1958" w:type="dxa"/>
            <w:tcBorders>
              <w:bottom w:val="nil"/>
            </w:tcBorders>
            <w:vAlign w:val="center"/>
          </w:tcPr>
          <w:p w14:paraId="3454B8D0"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r>
      <w:tr w:rsidR="00A4735C" w:rsidRPr="005732FC" w14:paraId="7A418B54" w14:textId="77777777" w:rsidTr="00532E89">
        <w:trPr>
          <w:trHeight w:val="20"/>
        </w:trPr>
        <w:tc>
          <w:tcPr>
            <w:tcW w:w="0" w:type="auto"/>
            <w:tcBorders>
              <w:top w:val="nil"/>
              <w:bottom w:val="nil"/>
            </w:tcBorders>
            <w:vAlign w:val="center"/>
          </w:tcPr>
          <w:p w14:paraId="6D8DA614" w14:textId="77777777" w:rsidR="00A4735C" w:rsidRPr="005732FC" w:rsidRDefault="00A4735C" w:rsidP="00A4735C">
            <w:pPr>
              <w:pStyle w:val="Texto"/>
              <w:spacing w:after="0" w:line="226" w:lineRule="exact"/>
              <w:ind w:firstLine="0"/>
              <w:rPr>
                <w:color w:val="000000"/>
                <w:sz w:val="20"/>
                <w:lang w:val="es-MX"/>
              </w:rPr>
            </w:pPr>
            <w:r w:rsidRPr="005732FC">
              <w:rPr>
                <w:color w:val="000000"/>
                <w:sz w:val="20"/>
                <w:lang w:val="es-MX"/>
              </w:rPr>
              <w:t>1.2.4.6.2</w:t>
            </w:r>
          </w:p>
        </w:tc>
        <w:tc>
          <w:tcPr>
            <w:tcW w:w="4109" w:type="dxa"/>
            <w:tcBorders>
              <w:top w:val="nil"/>
              <w:bottom w:val="nil"/>
            </w:tcBorders>
            <w:vAlign w:val="center"/>
          </w:tcPr>
          <w:p w14:paraId="6E29405A" w14:textId="77777777" w:rsidR="00A4735C" w:rsidRPr="005732FC" w:rsidRDefault="00A4735C" w:rsidP="007F0C18">
            <w:pPr>
              <w:pStyle w:val="Texto"/>
              <w:spacing w:after="0" w:line="226" w:lineRule="exact"/>
              <w:ind w:firstLine="0"/>
              <w:jc w:val="left"/>
              <w:rPr>
                <w:color w:val="000000"/>
                <w:sz w:val="20"/>
                <w:lang w:val="es-MX"/>
              </w:rPr>
            </w:pPr>
            <w:r w:rsidRPr="005732FC">
              <w:rPr>
                <w:color w:val="000000"/>
                <w:sz w:val="20"/>
                <w:lang w:val="es-MX"/>
              </w:rPr>
              <w:t xml:space="preserve">Maquinaria y Equipo Industrial </w:t>
            </w:r>
          </w:p>
        </w:tc>
        <w:tc>
          <w:tcPr>
            <w:tcW w:w="0" w:type="auto"/>
            <w:tcBorders>
              <w:top w:val="nil"/>
              <w:bottom w:val="nil"/>
            </w:tcBorders>
            <w:vAlign w:val="center"/>
          </w:tcPr>
          <w:p w14:paraId="3F96BCE6"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c>
          <w:tcPr>
            <w:tcW w:w="1958" w:type="dxa"/>
            <w:tcBorders>
              <w:top w:val="nil"/>
              <w:bottom w:val="nil"/>
            </w:tcBorders>
            <w:vAlign w:val="center"/>
          </w:tcPr>
          <w:p w14:paraId="14D9954E"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r>
      <w:tr w:rsidR="00A4735C" w:rsidRPr="005732FC" w14:paraId="5CF9B6A1" w14:textId="77777777" w:rsidTr="00532E89">
        <w:trPr>
          <w:trHeight w:val="20"/>
        </w:trPr>
        <w:tc>
          <w:tcPr>
            <w:tcW w:w="0" w:type="auto"/>
            <w:tcBorders>
              <w:top w:val="nil"/>
              <w:bottom w:val="nil"/>
            </w:tcBorders>
            <w:vAlign w:val="center"/>
          </w:tcPr>
          <w:p w14:paraId="3F8B05FC" w14:textId="77777777" w:rsidR="00A4735C" w:rsidRPr="005732FC" w:rsidRDefault="00A4735C" w:rsidP="00A4735C">
            <w:pPr>
              <w:pStyle w:val="Texto"/>
              <w:spacing w:after="0" w:line="226" w:lineRule="exact"/>
              <w:ind w:firstLine="0"/>
              <w:rPr>
                <w:color w:val="000000"/>
                <w:sz w:val="20"/>
                <w:lang w:val="es-MX"/>
              </w:rPr>
            </w:pPr>
            <w:r w:rsidRPr="005732FC">
              <w:rPr>
                <w:color w:val="000000"/>
                <w:sz w:val="20"/>
                <w:lang w:val="es-MX"/>
              </w:rPr>
              <w:t>1.2.4.6.3</w:t>
            </w:r>
          </w:p>
        </w:tc>
        <w:tc>
          <w:tcPr>
            <w:tcW w:w="4109" w:type="dxa"/>
            <w:tcBorders>
              <w:top w:val="nil"/>
              <w:bottom w:val="nil"/>
            </w:tcBorders>
            <w:vAlign w:val="center"/>
          </w:tcPr>
          <w:p w14:paraId="537160C0" w14:textId="77777777" w:rsidR="00A4735C" w:rsidRPr="005732FC" w:rsidRDefault="00A4735C" w:rsidP="007F0C18">
            <w:pPr>
              <w:pStyle w:val="Texto"/>
              <w:spacing w:after="0" w:line="226" w:lineRule="exact"/>
              <w:ind w:firstLine="0"/>
              <w:jc w:val="left"/>
              <w:rPr>
                <w:color w:val="000000"/>
                <w:sz w:val="20"/>
                <w:lang w:val="es-MX"/>
              </w:rPr>
            </w:pPr>
            <w:r w:rsidRPr="005732FC">
              <w:rPr>
                <w:color w:val="000000"/>
                <w:sz w:val="20"/>
                <w:lang w:val="es-MX"/>
              </w:rPr>
              <w:t>Maquinaria y Equipo de Construcción</w:t>
            </w:r>
          </w:p>
        </w:tc>
        <w:tc>
          <w:tcPr>
            <w:tcW w:w="0" w:type="auto"/>
            <w:tcBorders>
              <w:top w:val="nil"/>
              <w:bottom w:val="nil"/>
            </w:tcBorders>
            <w:vAlign w:val="center"/>
          </w:tcPr>
          <w:p w14:paraId="3F99752D"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c>
          <w:tcPr>
            <w:tcW w:w="1958" w:type="dxa"/>
            <w:tcBorders>
              <w:top w:val="nil"/>
              <w:bottom w:val="nil"/>
            </w:tcBorders>
            <w:vAlign w:val="center"/>
          </w:tcPr>
          <w:p w14:paraId="7D310780"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r>
      <w:tr w:rsidR="00A4735C" w:rsidRPr="005732FC" w14:paraId="12B2DC01" w14:textId="77777777" w:rsidTr="00532E89">
        <w:trPr>
          <w:trHeight w:val="20"/>
        </w:trPr>
        <w:tc>
          <w:tcPr>
            <w:tcW w:w="0" w:type="auto"/>
            <w:tcBorders>
              <w:top w:val="nil"/>
              <w:bottom w:val="nil"/>
            </w:tcBorders>
            <w:vAlign w:val="center"/>
          </w:tcPr>
          <w:p w14:paraId="72E02583" w14:textId="77777777" w:rsidR="00A4735C" w:rsidRPr="005732FC" w:rsidRDefault="00A4735C" w:rsidP="00A4735C">
            <w:pPr>
              <w:pStyle w:val="Texto"/>
              <w:spacing w:after="0" w:line="226" w:lineRule="exact"/>
              <w:ind w:firstLine="0"/>
              <w:rPr>
                <w:color w:val="000000"/>
                <w:sz w:val="20"/>
                <w:lang w:val="es-MX"/>
              </w:rPr>
            </w:pPr>
            <w:r w:rsidRPr="005732FC">
              <w:rPr>
                <w:color w:val="000000"/>
                <w:sz w:val="20"/>
                <w:lang w:val="es-MX"/>
              </w:rPr>
              <w:t>1.2.4.6.4</w:t>
            </w:r>
          </w:p>
        </w:tc>
        <w:tc>
          <w:tcPr>
            <w:tcW w:w="4109" w:type="dxa"/>
            <w:tcBorders>
              <w:top w:val="nil"/>
              <w:bottom w:val="nil"/>
            </w:tcBorders>
            <w:vAlign w:val="center"/>
          </w:tcPr>
          <w:p w14:paraId="1C0C096E" w14:textId="77777777" w:rsidR="00A4735C" w:rsidRPr="005732FC" w:rsidRDefault="00A4735C" w:rsidP="007F0C18">
            <w:pPr>
              <w:pStyle w:val="Texto"/>
              <w:spacing w:after="0" w:line="226" w:lineRule="exact"/>
              <w:ind w:firstLine="0"/>
              <w:jc w:val="left"/>
              <w:rPr>
                <w:color w:val="000000"/>
                <w:sz w:val="20"/>
                <w:lang w:val="es-MX"/>
              </w:rPr>
            </w:pPr>
            <w:r w:rsidRPr="005732FC">
              <w:rPr>
                <w:color w:val="000000"/>
                <w:sz w:val="20"/>
                <w:lang w:val="es-MX"/>
              </w:rPr>
              <w:t>Sistemas de Aire Acondicionado, Calefacción y de Refrigeración Industrial y Comercial</w:t>
            </w:r>
          </w:p>
        </w:tc>
        <w:tc>
          <w:tcPr>
            <w:tcW w:w="0" w:type="auto"/>
            <w:tcBorders>
              <w:top w:val="nil"/>
              <w:bottom w:val="nil"/>
            </w:tcBorders>
            <w:vAlign w:val="center"/>
          </w:tcPr>
          <w:p w14:paraId="14D277BD"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c>
          <w:tcPr>
            <w:tcW w:w="1958" w:type="dxa"/>
            <w:tcBorders>
              <w:top w:val="nil"/>
              <w:bottom w:val="nil"/>
            </w:tcBorders>
            <w:vAlign w:val="center"/>
          </w:tcPr>
          <w:p w14:paraId="694838AB"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r>
      <w:tr w:rsidR="00A4735C" w:rsidRPr="005732FC" w14:paraId="7E1A6D19" w14:textId="77777777" w:rsidTr="00532E89">
        <w:trPr>
          <w:trHeight w:val="20"/>
        </w:trPr>
        <w:tc>
          <w:tcPr>
            <w:tcW w:w="0" w:type="auto"/>
            <w:tcBorders>
              <w:top w:val="nil"/>
              <w:bottom w:val="single" w:sz="6" w:space="0" w:color="auto"/>
            </w:tcBorders>
            <w:vAlign w:val="center"/>
          </w:tcPr>
          <w:p w14:paraId="72AECAB5" w14:textId="77777777" w:rsidR="00A4735C" w:rsidRPr="005732FC" w:rsidRDefault="00A4735C" w:rsidP="00A4735C">
            <w:pPr>
              <w:pStyle w:val="Texto"/>
              <w:spacing w:after="0" w:line="226" w:lineRule="exact"/>
              <w:ind w:firstLine="0"/>
              <w:rPr>
                <w:color w:val="000000"/>
                <w:sz w:val="20"/>
                <w:lang w:val="es-MX"/>
              </w:rPr>
            </w:pPr>
            <w:r w:rsidRPr="005732FC">
              <w:rPr>
                <w:color w:val="000000"/>
                <w:sz w:val="20"/>
                <w:lang w:val="es-MX"/>
              </w:rPr>
              <w:t>1.2.4.6.5</w:t>
            </w:r>
          </w:p>
        </w:tc>
        <w:tc>
          <w:tcPr>
            <w:tcW w:w="4109" w:type="dxa"/>
            <w:tcBorders>
              <w:top w:val="nil"/>
              <w:bottom w:val="single" w:sz="6" w:space="0" w:color="auto"/>
            </w:tcBorders>
            <w:vAlign w:val="center"/>
          </w:tcPr>
          <w:p w14:paraId="36A3725F" w14:textId="77777777" w:rsidR="00A4735C" w:rsidRPr="005732FC" w:rsidRDefault="00A4735C" w:rsidP="007F0C18">
            <w:pPr>
              <w:pStyle w:val="Texto"/>
              <w:spacing w:after="0" w:line="226" w:lineRule="exact"/>
              <w:ind w:firstLine="0"/>
              <w:jc w:val="left"/>
              <w:rPr>
                <w:color w:val="000000"/>
                <w:sz w:val="20"/>
                <w:lang w:val="es-MX"/>
              </w:rPr>
            </w:pPr>
            <w:r w:rsidRPr="005732FC">
              <w:rPr>
                <w:color w:val="000000"/>
                <w:sz w:val="20"/>
                <w:lang w:val="es-MX"/>
              </w:rPr>
              <w:t>Equipo de Comunicación y Telecomunicación</w:t>
            </w:r>
          </w:p>
        </w:tc>
        <w:tc>
          <w:tcPr>
            <w:tcW w:w="0" w:type="auto"/>
            <w:tcBorders>
              <w:top w:val="nil"/>
              <w:bottom w:val="single" w:sz="6" w:space="0" w:color="auto"/>
            </w:tcBorders>
            <w:vAlign w:val="center"/>
          </w:tcPr>
          <w:p w14:paraId="376780A7"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c>
          <w:tcPr>
            <w:tcW w:w="1958" w:type="dxa"/>
            <w:tcBorders>
              <w:top w:val="nil"/>
              <w:bottom w:val="single" w:sz="6" w:space="0" w:color="auto"/>
            </w:tcBorders>
            <w:vAlign w:val="center"/>
          </w:tcPr>
          <w:p w14:paraId="18BF4DDA"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r>
      <w:tr w:rsidR="00A4735C" w:rsidRPr="005732FC" w14:paraId="19482E7C" w14:textId="77777777" w:rsidTr="00532E89">
        <w:trPr>
          <w:trHeight w:val="20"/>
        </w:trPr>
        <w:tc>
          <w:tcPr>
            <w:tcW w:w="0" w:type="auto"/>
            <w:tcBorders>
              <w:top w:val="single" w:sz="6" w:space="0" w:color="auto"/>
              <w:bottom w:val="nil"/>
            </w:tcBorders>
            <w:vAlign w:val="center"/>
          </w:tcPr>
          <w:p w14:paraId="56D84E2B" w14:textId="77777777" w:rsidR="00A4735C" w:rsidRPr="005732FC" w:rsidRDefault="00A4735C" w:rsidP="00A4735C">
            <w:pPr>
              <w:pStyle w:val="Texto"/>
              <w:spacing w:after="0" w:line="226" w:lineRule="exact"/>
              <w:ind w:firstLine="0"/>
              <w:rPr>
                <w:color w:val="000000"/>
                <w:sz w:val="20"/>
                <w:lang w:val="es-MX"/>
              </w:rPr>
            </w:pPr>
            <w:r w:rsidRPr="005732FC">
              <w:rPr>
                <w:color w:val="000000"/>
                <w:sz w:val="20"/>
                <w:lang w:val="es-MX"/>
              </w:rPr>
              <w:lastRenderedPageBreak/>
              <w:t>1.2.4.6.6</w:t>
            </w:r>
          </w:p>
        </w:tc>
        <w:tc>
          <w:tcPr>
            <w:tcW w:w="4109" w:type="dxa"/>
            <w:tcBorders>
              <w:top w:val="single" w:sz="6" w:space="0" w:color="auto"/>
              <w:bottom w:val="nil"/>
            </w:tcBorders>
            <w:vAlign w:val="center"/>
          </w:tcPr>
          <w:p w14:paraId="433BABA7" w14:textId="77777777" w:rsidR="00A4735C" w:rsidRPr="005732FC" w:rsidRDefault="00A4735C" w:rsidP="007F0C18">
            <w:pPr>
              <w:pStyle w:val="Texto"/>
              <w:spacing w:after="0" w:line="226" w:lineRule="exact"/>
              <w:ind w:firstLine="0"/>
              <w:jc w:val="left"/>
              <w:rPr>
                <w:color w:val="000000"/>
                <w:sz w:val="20"/>
                <w:lang w:val="es-MX"/>
              </w:rPr>
            </w:pPr>
            <w:r w:rsidRPr="005732FC">
              <w:rPr>
                <w:color w:val="000000"/>
                <w:sz w:val="20"/>
                <w:lang w:val="es-MX"/>
              </w:rPr>
              <w:t xml:space="preserve">Equipos de Generación Eléctrica, Aparatos y Accesorios Eléctricos </w:t>
            </w:r>
          </w:p>
        </w:tc>
        <w:tc>
          <w:tcPr>
            <w:tcW w:w="0" w:type="auto"/>
            <w:tcBorders>
              <w:top w:val="single" w:sz="6" w:space="0" w:color="auto"/>
              <w:bottom w:val="nil"/>
            </w:tcBorders>
            <w:vAlign w:val="center"/>
          </w:tcPr>
          <w:p w14:paraId="6334EBF3"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c>
          <w:tcPr>
            <w:tcW w:w="1958" w:type="dxa"/>
            <w:tcBorders>
              <w:top w:val="single" w:sz="6" w:space="0" w:color="auto"/>
              <w:bottom w:val="nil"/>
            </w:tcBorders>
            <w:vAlign w:val="center"/>
          </w:tcPr>
          <w:p w14:paraId="004CB1A8"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r>
      <w:tr w:rsidR="00A4735C" w:rsidRPr="005732FC" w14:paraId="3E49434D" w14:textId="77777777" w:rsidTr="00532E89">
        <w:trPr>
          <w:trHeight w:val="20"/>
        </w:trPr>
        <w:tc>
          <w:tcPr>
            <w:tcW w:w="0" w:type="auto"/>
            <w:tcBorders>
              <w:top w:val="nil"/>
              <w:bottom w:val="nil"/>
            </w:tcBorders>
            <w:vAlign w:val="center"/>
          </w:tcPr>
          <w:p w14:paraId="012C0439" w14:textId="77777777" w:rsidR="00A4735C" w:rsidRPr="005732FC" w:rsidRDefault="00A4735C" w:rsidP="00A4735C">
            <w:pPr>
              <w:pStyle w:val="Texto"/>
              <w:spacing w:after="0" w:line="226" w:lineRule="exact"/>
              <w:ind w:firstLine="0"/>
              <w:rPr>
                <w:color w:val="000000"/>
                <w:sz w:val="20"/>
                <w:lang w:val="es-MX"/>
              </w:rPr>
            </w:pPr>
            <w:r w:rsidRPr="005732FC">
              <w:rPr>
                <w:color w:val="000000"/>
                <w:sz w:val="20"/>
                <w:lang w:val="es-MX"/>
              </w:rPr>
              <w:t>1.2.4.6.7</w:t>
            </w:r>
          </w:p>
        </w:tc>
        <w:tc>
          <w:tcPr>
            <w:tcW w:w="4109" w:type="dxa"/>
            <w:tcBorders>
              <w:top w:val="nil"/>
              <w:bottom w:val="nil"/>
            </w:tcBorders>
            <w:vAlign w:val="center"/>
          </w:tcPr>
          <w:p w14:paraId="10AAB0E5" w14:textId="77777777" w:rsidR="00A4735C" w:rsidRPr="005732FC" w:rsidRDefault="00A4735C" w:rsidP="007F0C18">
            <w:pPr>
              <w:pStyle w:val="Texto"/>
              <w:spacing w:after="0" w:line="226" w:lineRule="exact"/>
              <w:ind w:firstLine="0"/>
              <w:jc w:val="left"/>
              <w:rPr>
                <w:color w:val="000000"/>
                <w:sz w:val="20"/>
                <w:lang w:val="es-MX"/>
              </w:rPr>
            </w:pPr>
            <w:r w:rsidRPr="005732FC">
              <w:rPr>
                <w:color w:val="000000"/>
                <w:sz w:val="20"/>
                <w:lang w:val="es-MX"/>
              </w:rPr>
              <w:t xml:space="preserve">Herramientas y Máquinas-Herramienta </w:t>
            </w:r>
          </w:p>
        </w:tc>
        <w:tc>
          <w:tcPr>
            <w:tcW w:w="0" w:type="auto"/>
            <w:tcBorders>
              <w:top w:val="nil"/>
              <w:bottom w:val="nil"/>
            </w:tcBorders>
            <w:vAlign w:val="center"/>
          </w:tcPr>
          <w:p w14:paraId="7F50F0F9"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c>
          <w:tcPr>
            <w:tcW w:w="1958" w:type="dxa"/>
            <w:tcBorders>
              <w:top w:val="nil"/>
              <w:bottom w:val="nil"/>
            </w:tcBorders>
            <w:vAlign w:val="center"/>
          </w:tcPr>
          <w:p w14:paraId="5F398FAA"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r>
      <w:tr w:rsidR="00A4735C" w:rsidRPr="005732FC" w14:paraId="3A752CC4" w14:textId="77777777" w:rsidTr="00532E89">
        <w:trPr>
          <w:trHeight w:val="20"/>
        </w:trPr>
        <w:tc>
          <w:tcPr>
            <w:tcW w:w="0" w:type="auto"/>
            <w:tcBorders>
              <w:top w:val="nil"/>
            </w:tcBorders>
            <w:vAlign w:val="center"/>
          </w:tcPr>
          <w:p w14:paraId="1BA7B2F2" w14:textId="77777777" w:rsidR="00A4735C" w:rsidRPr="005732FC" w:rsidRDefault="00A4735C" w:rsidP="00A4735C">
            <w:pPr>
              <w:pStyle w:val="Texto"/>
              <w:spacing w:after="0" w:line="226" w:lineRule="exact"/>
              <w:ind w:firstLine="0"/>
              <w:rPr>
                <w:color w:val="000000"/>
                <w:sz w:val="20"/>
                <w:lang w:val="es-MX"/>
              </w:rPr>
            </w:pPr>
            <w:r w:rsidRPr="005732FC">
              <w:rPr>
                <w:color w:val="000000"/>
                <w:sz w:val="20"/>
                <w:lang w:val="es-MX"/>
              </w:rPr>
              <w:t>1.2.4.6.9</w:t>
            </w:r>
          </w:p>
        </w:tc>
        <w:tc>
          <w:tcPr>
            <w:tcW w:w="4109" w:type="dxa"/>
            <w:tcBorders>
              <w:top w:val="nil"/>
            </w:tcBorders>
            <w:vAlign w:val="center"/>
          </w:tcPr>
          <w:p w14:paraId="0B88BCD1" w14:textId="77777777" w:rsidR="00A4735C" w:rsidRPr="005732FC" w:rsidRDefault="00A4735C" w:rsidP="007F0C18">
            <w:pPr>
              <w:pStyle w:val="Texto"/>
              <w:spacing w:after="0" w:line="226" w:lineRule="exact"/>
              <w:ind w:firstLine="0"/>
              <w:jc w:val="left"/>
              <w:rPr>
                <w:color w:val="000000"/>
                <w:sz w:val="20"/>
                <w:lang w:val="es-MX"/>
              </w:rPr>
            </w:pPr>
            <w:r w:rsidRPr="005732FC">
              <w:rPr>
                <w:color w:val="000000"/>
                <w:sz w:val="20"/>
                <w:lang w:val="es-MX"/>
              </w:rPr>
              <w:t>Otros Equipos</w:t>
            </w:r>
          </w:p>
        </w:tc>
        <w:tc>
          <w:tcPr>
            <w:tcW w:w="0" w:type="auto"/>
            <w:tcBorders>
              <w:top w:val="nil"/>
            </w:tcBorders>
            <w:vAlign w:val="center"/>
          </w:tcPr>
          <w:p w14:paraId="17C05BAB"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c>
          <w:tcPr>
            <w:tcW w:w="1958" w:type="dxa"/>
            <w:tcBorders>
              <w:top w:val="nil"/>
            </w:tcBorders>
            <w:vAlign w:val="center"/>
          </w:tcPr>
          <w:p w14:paraId="49897C5F" w14:textId="77777777" w:rsidR="00A4735C" w:rsidRPr="005732FC" w:rsidRDefault="00A4735C" w:rsidP="00A4735C">
            <w:pPr>
              <w:pStyle w:val="Texto"/>
              <w:spacing w:after="0" w:line="226" w:lineRule="exact"/>
              <w:ind w:firstLine="0"/>
              <w:jc w:val="center"/>
              <w:rPr>
                <w:color w:val="000000"/>
                <w:sz w:val="20"/>
                <w:lang w:val="es-MX"/>
              </w:rPr>
            </w:pPr>
            <w:r w:rsidRPr="005732FC">
              <w:rPr>
                <w:color w:val="000000"/>
                <w:sz w:val="20"/>
                <w:lang w:val="es-MX"/>
              </w:rPr>
              <w:t>10</w:t>
            </w:r>
          </w:p>
        </w:tc>
      </w:tr>
    </w:tbl>
    <w:p w14:paraId="4663946A" w14:textId="77777777" w:rsidR="00C447C7" w:rsidRPr="005732FC" w:rsidRDefault="00C447C7" w:rsidP="00C447C7">
      <w:pPr>
        <w:spacing w:after="0"/>
        <w:jc w:val="both"/>
        <w:rPr>
          <w:rFonts w:ascii="Arial" w:hAnsi="Arial" w:cs="Arial"/>
          <w:sz w:val="20"/>
          <w:szCs w:val="20"/>
        </w:rPr>
      </w:pPr>
      <w:r w:rsidRPr="005732FC">
        <w:rPr>
          <w:rFonts w:ascii="Arial" w:hAnsi="Arial" w:cs="Arial"/>
          <w:sz w:val="20"/>
          <w:szCs w:val="20"/>
        </w:rPr>
        <w:tab/>
      </w:r>
    </w:p>
    <w:p w14:paraId="62CA4F33" w14:textId="6584C1FF" w:rsidR="00C447C7" w:rsidRPr="005732FC" w:rsidRDefault="00C447C7" w:rsidP="00A4735C">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2D3ED03" w14:textId="77777777" w:rsidR="00C447C7" w:rsidRPr="005732FC" w:rsidRDefault="00C447C7" w:rsidP="00C447C7">
      <w:pPr>
        <w:spacing w:after="0"/>
        <w:jc w:val="both"/>
        <w:rPr>
          <w:rFonts w:ascii="Arial" w:hAnsi="Arial" w:cs="Arial"/>
          <w:sz w:val="20"/>
          <w:szCs w:val="20"/>
        </w:rPr>
      </w:pPr>
    </w:p>
    <w:p w14:paraId="300C94E7" w14:textId="77777777" w:rsidR="007F0C18" w:rsidRPr="005732FC" w:rsidRDefault="00C447C7" w:rsidP="00606375">
      <w:pPr>
        <w:spacing w:after="0"/>
        <w:jc w:val="both"/>
        <w:rPr>
          <w:rFonts w:ascii="Arial" w:hAnsi="Arial" w:cs="Arial"/>
          <w:sz w:val="20"/>
          <w:szCs w:val="20"/>
        </w:rPr>
      </w:pPr>
      <w:r w:rsidRPr="005732FC">
        <w:rPr>
          <w:rFonts w:ascii="Arial" w:hAnsi="Arial" w:cs="Arial"/>
          <w:sz w:val="20"/>
          <w:szCs w:val="20"/>
        </w:rPr>
        <w:t xml:space="preserve"> </w:t>
      </w:r>
    </w:p>
    <w:p w14:paraId="210CDC1F" w14:textId="6DB921FB" w:rsidR="00C447C7" w:rsidRPr="005732FC" w:rsidRDefault="00C447C7" w:rsidP="00606375">
      <w:pPr>
        <w:spacing w:after="0"/>
        <w:jc w:val="both"/>
        <w:rPr>
          <w:rFonts w:ascii="Arial" w:hAnsi="Arial" w:cs="Arial"/>
          <w:sz w:val="20"/>
          <w:szCs w:val="20"/>
        </w:rPr>
      </w:pPr>
      <w:r w:rsidRPr="005732FC">
        <w:rPr>
          <w:rFonts w:ascii="Arial" w:hAnsi="Arial" w:cs="Arial"/>
          <w:sz w:val="20"/>
          <w:szCs w:val="20"/>
        </w:rPr>
        <w:t>La revaluación de los bienes muebles se efectuará con base en la normatividad y procedimientos que emita la Oficialía Mayor, por medio de la Dirección de Patrimonio Municipal. Los terrenos y las obras de arte no serán sujetos del cálculo de la depreciación, pero sí de la revaluación.</w:t>
      </w:r>
    </w:p>
    <w:p w14:paraId="19A1722E" w14:textId="77777777" w:rsidR="009D3D37" w:rsidRPr="005732FC" w:rsidRDefault="009D3D37" w:rsidP="009D3D37">
      <w:pPr>
        <w:spacing w:after="0"/>
      </w:pPr>
    </w:p>
    <w:p w14:paraId="030A039D" w14:textId="657EE4E6" w:rsidR="00C447C7" w:rsidRPr="005732FC" w:rsidRDefault="009D3D37" w:rsidP="009D3D37">
      <w:pPr>
        <w:pStyle w:val="Ttulo2"/>
        <w:numPr>
          <w:ilvl w:val="1"/>
          <w:numId w:val="6"/>
        </w:numPr>
        <w:spacing w:before="0"/>
        <w:ind w:left="567"/>
        <w:rPr>
          <w:rFonts w:ascii="Arial" w:hAnsi="Arial" w:cs="Arial"/>
          <w:b/>
          <w:bCs/>
          <w:sz w:val="20"/>
          <w:szCs w:val="20"/>
        </w:rPr>
      </w:pPr>
      <w:r w:rsidRPr="005732FC">
        <w:rPr>
          <w:rFonts w:ascii="Arial" w:hAnsi="Arial" w:cs="Arial"/>
          <w:b/>
          <w:bCs/>
          <w:sz w:val="20"/>
          <w:szCs w:val="20"/>
        </w:rPr>
        <w:t>Cambios en el porcentaje de depreciación y amortización.</w:t>
      </w:r>
    </w:p>
    <w:p w14:paraId="5284BE32" w14:textId="77777777" w:rsidR="009D3D37" w:rsidRPr="005732FC" w:rsidRDefault="009D3D37" w:rsidP="009D3D37">
      <w:pPr>
        <w:spacing w:after="0"/>
      </w:pPr>
    </w:p>
    <w:p w14:paraId="2638D79A" w14:textId="5D06374F" w:rsidR="009D3D37" w:rsidRPr="005732FC" w:rsidRDefault="009D3D37" w:rsidP="009D3D37">
      <w:pPr>
        <w:spacing w:after="0"/>
        <w:rPr>
          <w:rFonts w:ascii="Arial" w:hAnsi="Arial" w:cs="Arial"/>
          <w:sz w:val="20"/>
          <w:szCs w:val="20"/>
        </w:rPr>
      </w:pPr>
      <w:r w:rsidRPr="005732FC">
        <w:rPr>
          <w:rFonts w:ascii="Arial" w:hAnsi="Arial" w:cs="Arial"/>
          <w:sz w:val="20"/>
          <w:szCs w:val="20"/>
        </w:rPr>
        <w:t>A la fecha no se ha realizado cambios en los parámetros de depreciación de los activos.</w:t>
      </w:r>
    </w:p>
    <w:p w14:paraId="3BA87AD7" w14:textId="77777777" w:rsidR="009D3D37" w:rsidRPr="005732FC" w:rsidRDefault="009D3D37" w:rsidP="009D3D37">
      <w:pPr>
        <w:spacing w:after="0"/>
      </w:pPr>
    </w:p>
    <w:p w14:paraId="67AFCC45" w14:textId="791E5ABB" w:rsidR="009D3D37" w:rsidRPr="005732FC" w:rsidRDefault="009D3D37" w:rsidP="009D3D37">
      <w:pPr>
        <w:pStyle w:val="Ttulo2"/>
        <w:numPr>
          <w:ilvl w:val="1"/>
          <w:numId w:val="6"/>
        </w:numPr>
        <w:spacing w:before="0"/>
        <w:ind w:left="567"/>
        <w:rPr>
          <w:rFonts w:ascii="Arial" w:hAnsi="Arial" w:cs="Arial"/>
          <w:b/>
          <w:bCs/>
          <w:sz w:val="20"/>
          <w:szCs w:val="20"/>
        </w:rPr>
      </w:pPr>
      <w:r w:rsidRPr="005732FC">
        <w:rPr>
          <w:rFonts w:ascii="Arial" w:hAnsi="Arial" w:cs="Arial"/>
          <w:b/>
          <w:bCs/>
          <w:sz w:val="20"/>
          <w:szCs w:val="20"/>
        </w:rPr>
        <w:t>Gastos capitalizados.</w:t>
      </w:r>
    </w:p>
    <w:p w14:paraId="44C64352" w14:textId="77777777" w:rsidR="009D3D37" w:rsidRPr="005732FC" w:rsidRDefault="009D3D37" w:rsidP="009D3D37">
      <w:pPr>
        <w:spacing w:after="0"/>
        <w:jc w:val="both"/>
        <w:rPr>
          <w:rFonts w:ascii="Arial" w:hAnsi="Arial" w:cs="Arial"/>
          <w:sz w:val="20"/>
          <w:szCs w:val="20"/>
        </w:rPr>
      </w:pPr>
    </w:p>
    <w:p w14:paraId="0184AFD9" w14:textId="73B80EB8" w:rsidR="00BA3347" w:rsidRPr="005732FC" w:rsidRDefault="007F0C18" w:rsidP="009D3D37">
      <w:pPr>
        <w:rPr>
          <w:rFonts w:ascii="Arial" w:hAnsi="Arial" w:cs="Arial"/>
          <w:b/>
          <w:bCs/>
          <w:sz w:val="20"/>
          <w:szCs w:val="20"/>
        </w:rPr>
      </w:pPr>
      <w:r w:rsidRPr="005732FC">
        <w:rPr>
          <w:rFonts w:ascii="Arial" w:hAnsi="Arial" w:cs="Arial"/>
          <w:b/>
          <w:bCs/>
          <w:sz w:val="20"/>
          <w:szCs w:val="20"/>
        </w:rPr>
        <w:t>B</w:t>
      </w:r>
      <w:r w:rsidR="00BA3347" w:rsidRPr="005732FC">
        <w:rPr>
          <w:rFonts w:ascii="Arial" w:hAnsi="Arial" w:cs="Arial"/>
          <w:b/>
          <w:bCs/>
          <w:sz w:val="20"/>
          <w:szCs w:val="20"/>
        </w:rPr>
        <w:t>ienes muebles e inmuebles.</w:t>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p>
    <w:p w14:paraId="45FE9A22" w14:textId="77777777" w:rsidR="009F19A8" w:rsidRPr="005732FC" w:rsidRDefault="00BA3347" w:rsidP="005D2B3E">
      <w:pPr>
        <w:spacing w:after="0"/>
        <w:jc w:val="both"/>
        <w:rPr>
          <w:rFonts w:ascii="Arial" w:hAnsi="Arial" w:cs="Arial"/>
          <w:sz w:val="20"/>
          <w:szCs w:val="20"/>
        </w:rPr>
      </w:pPr>
      <w:r w:rsidRPr="005732FC">
        <w:rPr>
          <w:rFonts w:ascii="Arial" w:hAnsi="Arial" w:cs="Arial"/>
          <w:sz w:val="20"/>
          <w:szCs w:val="20"/>
        </w:rPr>
        <w:t>Los bienes inmuebles, mobiliario y equipo, vehículos, maquinaria, armamento, equipos especiales, aeronaves, acervo bibliográfico y artístico, obras de arte, entre otros, se registraran a su costo de adquisición, construcción, o bien a su valor estimado razonablemente por el área administrativa correspondiente o al de avaluó, en su caso de que sean producto de una donación, expropiación o adjudicación, aun cuando no se cuente con la factura o documentación original que ampare la propiedad incluyendo todos los gastos y costos relacionados con su adquisición, así como el IVA excepto cuando sea recuperable de acuerdo a las disposiciones fiscales.</w:t>
      </w:r>
    </w:p>
    <w:p w14:paraId="5A5AC862" w14:textId="3CD8032D"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5F7DFF3" w14:textId="77777777" w:rsidR="008E60BA" w:rsidRPr="005732FC" w:rsidRDefault="00BA3347" w:rsidP="005D2B3E">
      <w:pPr>
        <w:spacing w:after="0"/>
        <w:jc w:val="both"/>
        <w:rPr>
          <w:rFonts w:ascii="Arial" w:hAnsi="Arial" w:cs="Arial"/>
          <w:sz w:val="20"/>
          <w:szCs w:val="20"/>
        </w:rPr>
      </w:pPr>
      <w:r w:rsidRPr="005732FC">
        <w:rPr>
          <w:rFonts w:ascii="Arial" w:hAnsi="Arial" w:cs="Arial"/>
          <w:sz w:val="20"/>
          <w:szCs w:val="20"/>
        </w:rPr>
        <w:t>Para el caso de bienes inmuebles obtenidos por donación, expropiación o adjudicación se valúan con el valor asentado en la Cedula Catastral.</w:t>
      </w:r>
    </w:p>
    <w:p w14:paraId="668A9E0B" w14:textId="77777777" w:rsidR="008E60BA" w:rsidRPr="005732FC" w:rsidRDefault="008E60BA" w:rsidP="005D2B3E">
      <w:pPr>
        <w:spacing w:after="0"/>
        <w:jc w:val="both"/>
        <w:rPr>
          <w:rFonts w:ascii="Arial" w:hAnsi="Arial" w:cs="Arial"/>
          <w:sz w:val="20"/>
          <w:szCs w:val="20"/>
        </w:rPr>
      </w:pPr>
    </w:p>
    <w:p w14:paraId="52F206F7" w14:textId="3A660699" w:rsidR="008E60BA" w:rsidRPr="005732FC" w:rsidRDefault="008E60BA" w:rsidP="008E60BA">
      <w:pPr>
        <w:rPr>
          <w:rFonts w:ascii="Arial" w:hAnsi="Arial" w:cs="Arial"/>
          <w:b/>
          <w:bCs/>
          <w:sz w:val="20"/>
          <w:szCs w:val="20"/>
        </w:rPr>
      </w:pPr>
      <w:r w:rsidRPr="005732FC">
        <w:rPr>
          <w:rFonts w:ascii="Arial" w:hAnsi="Arial" w:cs="Arial"/>
          <w:b/>
          <w:bCs/>
          <w:sz w:val="20"/>
          <w:szCs w:val="20"/>
        </w:rPr>
        <w:t>Activos intangibles.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A0204AE" w14:textId="77777777" w:rsidR="008E60BA" w:rsidRPr="005732FC" w:rsidRDefault="008E60BA" w:rsidP="008E60BA">
      <w:pPr>
        <w:spacing w:after="0"/>
        <w:jc w:val="both"/>
        <w:rPr>
          <w:rFonts w:ascii="Arial" w:hAnsi="Arial" w:cs="Arial"/>
          <w:sz w:val="20"/>
          <w:szCs w:val="20"/>
        </w:rPr>
      </w:pPr>
      <w:r w:rsidRPr="005732FC">
        <w:rPr>
          <w:rFonts w:ascii="Arial" w:hAnsi="Arial" w:cs="Arial"/>
          <w:sz w:val="20"/>
          <w:szCs w:val="20"/>
        </w:rPr>
        <w:t xml:space="preserve">Estos activos deben </w:t>
      </w:r>
      <w:proofErr w:type="spellStart"/>
      <w:r w:rsidRPr="005732FC">
        <w:rPr>
          <w:rFonts w:ascii="Arial" w:hAnsi="Arial" w:cs="Arial"/>
          <w:sz w:val="20"/>
          <w:szCs w:val="20"/>
        </w:rPr>
        <w:t>valuarse</w:t>
      </w:r>
      <w:proofErr w:type="spellEnd"/>
      <w:r w:rsidRPr="005732FC">
        <w:rPr>
          <w:rFonts w:ascii="Arial" w:hAnsi="Arial" w:cs="Arial"/>
          <w:sz w:val="20"/>
          <w:szCs w:val="20"/>
        </w:rPr>
        <w:t xml:space="preserve"> igual que los activos fijos, e igualmente su reconocimiento sólo puede darse por operaciones y transacciones con terceros. Un ejemplo de estos son los Sistemas Informáticos o Software, así como las Licencias de este tipo.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A7A3D9C" w14:textId="77777777" w:rsidR="008E60BA" w:rsidRPr="005732FC" w:rsidRDefault="008E60BA" w:rsidP="008E60BA">
      <w:pPr>
        <w:spacing w:after="0"/>
        <w:jc w:val="both"/>
        <w:rPr>
          <w:rFonts w:ascii="Arial" w:hAnsi="Arial" w:cs="Arial"/>
          <w:sz w:val="20"/>
          <w:szCs w:val="20"/>
        </w:rPr>
      </w:pPr>
    </w:p>
    <w:p w14:paraId="3D6E6AA1" w14:textId="71062F28" w:rsidR="00BA3347" w:rsidRPr="005732FC" w:rsidRDefault="008E60BA" w:rsidP="005D2B3E">
      <w:pPr>
        <w:spacing w:after="0"/>
        <w:jc w:val="both"/>
        <w:rPr>
          <w:rFonts w:ascii="Arial" w:hAnsi="Arial" w:cs="Arial"/>
          <w:sz w:val="20"/>
          <w:szCs w:val="20"/>
        </w:rPr>
      </w:pPr>
      <w:r w:rsidRPr="005732FC">
        <w:rPr>
          <w:rFonts w:ascii="Arial" w:hAnsi="Arial" w:cs="Arial"/>
          <w:sz w:val="20"/>
          <w:szCs w:val="20"/>
        </w:rPr>
        <w:t>Al igual que la depreciación, éstos activos están sujetos a amortización, siempre y cuando tengan una vida útil determinable y, para su determinación, deben considerarse los mismos elementos que en la depreciación. En el caso de que los activos intangibles no tengan una vida útil o económica determinable, deben quedar sujetos a la evaluación del deterioro del valor, lo cual debe hacerse regularmente por la Dirección de Patrimonio Municipal.</w:t>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p>
    <w:p w14:paraId="4B358D13" w14:textId="4132A2B0" w:rsidR="00BA3347" w:rsidRPr="005732FC" w:rsidRDefault="00BA3347" w:rsidP="009D3D37">
      <w:pPr>
        <w:rPr>
          <w:rFonts w:ascii="Arial" w:hAnsi="Arial" w:cs="Arial"/>
          <w:b/>
          <w:bCs/>
          <w:sz w:val="20"/>
          <w:szCs w:val="20"/>
        </w:rPr>
      </w:pPr>
      <w:r w:rsidRPr="005732FC">
        <w:rPr>
          <w:rFonts w:ascii="Arial" w:hAnsi="Arial" w:cs="Arial"/>
          <w:b/>
          <w:bCs/>
          <w:sz w:val="20"/>
          <w:szCs w:val="20"/>
        </w:rPr>
        <w:t>Registro Patrimonial.</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071EED0" w14:textId="6BA84E48"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Todos los bienes patrimoniales propiedad de la entidad por adquisición, donación o adjudicación deben ser registrados contablemente en cuentas de activo y de patrimonio a su costo de adquisición o avalúo según sea el caso; independientemente de su registro al gasto cuando sea por adquisición.</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94F7E7D" w14:textId="45855278" w:rsidR="009D3D37" w:rsidRPr="005732FC" w:rsidRDefault="009D3D37" w:rsidP="009D3D37">
      <w:pPr>
        <w:rPr>
          <w:rFonts w:ascii="Arial" w:hAnsi="Arial" w:cs="Arial"/>
          <w:b/>
          <w:bCs/>
          <w:sz w:val="20"/>
          <w:szCs w:val="20"/>
        </w:rPr>
      </w:pPr>
      <w:r w:rsidRPr="005732FC">
        <w:rPr>
          <w:rFonts w:ascii="Arial" w:hAnsi="Arial" w:cs="Arial"/>
          <w:b/>
          <w:bCs/>
          <w:sz w:val="20"/>
          <w:szCs w:val="20"/>
        </w:rPr>
        <w:t>Construcciones en proceso.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9B45314" w14:textId="77777777" w:rsidR="009D3D37" w:rsidRPr="005732FC" w:rsidRDefault="009D3D37" w:rsidP="00AC3771">
      <w:pPr>
        <w:spacing w:after="0"/>
        <w:jc w:val="both"/>
        <w:rPr>
          <w:rFonts w:ascii="Arial" w:hAnsi="Arial" w:cs="Arial"/>
          <w:sz w:val="20"/>
          <w:szCs w:val="20"/>
        </w:rPr>
      </w:pPr>
      <w:r w:rsidRPr="005732FC">
        <w:rPr>
          <w:rFonts w:ascii="Arial" w:hAnsi="Arial" w:cs="Arial"/>
          <w:sz w:val="20"/>
          <w:szCs w:val="20"/>
        </w:rPr>
        <w:t xml:space="preserve">Para fines de control, la obra pública se deberá registrar invariablemente en una cuenta puente “Construcciones en proceso”, ya que es necesario reconocerlas contablemente en forma separada a fin de conocer su grado de avance en forma objetiva y comparable para elaborar estimaciones correctas, que muestren cifras confiables en la información </w:t>
      </w:r>
      <w:r w:rsidRPr="005732FC">
        <w:rPr>
          <w:rFonts w:ascii="Arial" w:hAnsi="Arial" w:cs="Arial"/>
          <w:sz w:val="20"/>
          <w:szCs w:val="20"/>
        </w:rPr>
        <w:lastRenderedPageBreak/>
        <w:t xml:space="preserve">financiera, y de acuerdo a los avances se harán las reclasificaciones correspondientes al gasto o al activo.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5E42605" w14:textId="77777777" w:rsidR="009D3D37" w:rsidRPr="005732FC" w:rsidRDefault="009D3D37" w:rsidP="00AC3771">
      <w:pPr>
        <w:spacing w:after="0"/>
        <w:jc w:val="both"/>
        <w:rPr>
          <w:rFonts w:ascii="Arial" w:hAnsi="Arial" w:cs="Arial"/>
          <w:sz w:val="20"/>
          <w:szCs w:val="20"/>
        </w:rPr>
      </w:pPr>
      <w:r w:rsidRPr="005732FC">
        <w:rPr>
          <w:rFonts w:ascii="Arial" w:hAnsi="Arial" w:cs="Arial"/>
          <w:sz w:val="20"/>
          <w:szCs w:val="20"/>
        </w:rPr>
        <w:t xml:space="preserve">En la realización de la obra pública, el ente (la entidad) deberá llevar un control por cada obra o contrato y su respectivo control presupuestal.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C935C0A" w14:textId="77777777" w:rsidR="009D3D37" w:rsidRPr="005732FC" w:rsidRDefault="009D3D37" w:rsidP="009D3D37">
      <w:pPr>
        <w:spacing w:after="0"/>
        <w:jc w:val="both"/>
        <w:rPr>
          <w:rFonts w:ascii="Arial" w:hAnsi="Arial" w:cs="Arial"/>
          <w:sz w:val="20"/>
          <w:szCs w:val="20"/>
        </w:rPr>
      </w:pPr>
    </w:p>
    <w:p w14:paraId="1C3EDDC0" w14:textId="77777777" w:rsidR="009D3D37" w:rsidRPr="005732FC" w:rsidRDefault="009D3D37" w:rsidP="009D3D37">
      <w:pPr>
        <w:spacing w:after="0"/>
        <w:jc w:val="both"/>
        <w:rPr>
          <w:rFonts w:ascii="Arial" w:hAnsi="Arial" w:cs="Arial"/>
          <w:sz w:val="20"/>
          <w:szCs w:val="20"/>
        </w:rPr>
      </w:pPr>
      <w:r w:rsidRPr="005732FC">
        <w:rPr>
          <w:rFonts w:ascii="Arial" w:hAnsi="Arial" w:cs="Arial"/>
          <w:sz w:val="20"/>
          <w:szCs w:val="20"/>
        </w:rPr>
        <w:t>Las obras se identifican como capitalizables y no capitalizables. En el primer caso cuando se concluya la obra con el acta de entrega- recepción o con el acta administrativa de finiquito como soportes, se deberá transferir el saldo al activo fijo para incorporarla al patrimonio. En caso de las obras no capitalizables estas también permanecen registradas en la cuenta puente de Obras en Proceso hasta su conclusión, y con el acta de entrega recepción o con el acta administrativa de finiquito como soporte, se dará de baja en la cuenta puente Obras en Proceso afectando la cuenta de gastos establecida por el CONAC.</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2CDDABA" w14:textId="77777777" w:rsidR="009D3D37" w:rsidRPr="005732FC" w:rsidRDefault="009D3D37" w:rsidP="009D3D37">
      <w:pPr>
        <w:spacing w:after="0"/>
        <w:jc w:val="both"/>
        <w:rPr>
          <w:rFonts w:ascii="Arial" w:hAnsi="Arial" w:cs="Arial"/>
          <w:sz w:val="20"/>
          <w:szCs w:val="20"/>
        </w:rPr>
      </w:pPr>
    </w:p>
    <w:p w14:paraId="1E4CF274" w14:textId="77777777" w:rsidR="009D3D37" w:rsidRPr="005732FC" w:rsidRDefault="009D3D37" w:rsidP="009D3D37">
      <w:pPr>
        <w:spacing w:after="0"/>
        <w:jc w:val="both"/>
        <w:rPr>
          <w:rFonts w:ascii="Arial" w:hAnsi="Arial" w:cs="Arial"/>
          <w:sz w:val="20"/>
          <w:szCs w:val="20"/>
        </w:rPr>
      </w:pPr>
      <w:r w:rsidRPr="005732FC">
        <w:rPr>
          <w:rFonts w:ascii="Arial" w:hAnsi="Arial" w:cs="Arial"/>
          <w:sz w:val="20"/>
          <w:szCs w:val="20"/>
        </w:rPr>
        <w:t xml:space="preserve">El registro de la Obra pública deberá incluir el costo de la elaboración de proyectos, la propia construcción y supervisión, así como los gastos y costos relacionados con la misma, generados desde la planeación hasta la conclusión, independientemente de la fuente de financiamiento, que puede ser, recursos propios, subsidios o transferencias, tanto estatales, como federales, recursos aportados por los beneficiarios, créditos bancarios y créditos otorgados por organismos financieros internacionales.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8FE20AA" w14:textId="77777777" w:rsidR="009D3D37" w:rsidRPr="005732FC" w:rsidRDefault="009D3D37" w:rsidP="009D3D37">
      <w:pPr>
        <w:spacing w:after="0"/>
        <w:jc w:val="both"/>
        <w:rPr>
          <w:rFonts w:ascii="Arial" w:hAnsi="Arial" w:cs="Arial"/>
          <w:sz w:val="20"/>
          <w:szCs w:val="20"/>
        </w:rPr>
      </w:pPr>
    </w:p>
    <w:p w14:paraId="75661E9F" w14:textId="1837C90A" w:rsidR="00BA3347" w:rsidRPr="005732FC" w:rsidRDefault="009D3D37" w:rsidP="009D3D37">
      <w:pPr>
        <w:spacing w:after="0"/>
        <w:jc w:val="both"/>
        <w:rPr>
          <w:rFonts w:ascii="Arial" w:hAnsi="Arial" w:cs="Arial"/>
          <w:sz w:val="20"/>
          <w:szCs w:val="20"/>
        </w:rPr>
      </w:pPr>
      <w:r w:rsidRPr="005732FC">
        <w:rPr>
          <w:rFonts w:ascii="Arial" w:hAnsi="Arial" w:cs="Arial"/>
          <w:sz w:val="20"/>
          <w:szCs w:val="20"/>
        </w:rPr>
        <w:t>Por lo que se refiere a la documentación original obtenida por la obra pública, esta deberá expedirse a nombre del ejecutor (Municipio de Benito Juárez). Tratándose de la obra pública ejecutada con recursos estatales y federales cuando el ejecutor sea el municipio, estos deberán realizar las retenciones correspondientes según la legislación vigente, en consecuencia, realizaran el registro contable correspondiente.</w:t>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p>
    <w:p w14:paraId="69B1B504"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6FA13E7" w14:textId="6FB976A8" w:rsidR="00BA3347" w:rsidRPr="005732FC" w:rsidRDefault="008E60BA" w:rsidP="008E60BA">
      <w:pPr>
        <w:pStyle w:val="Ttulo2"/>
        <w:numPr>
          <w:ilvl w:val="1"/>
          <w:numId w:val="6"/>
        </w:numPr>
        <w:spacing w:before="0"/>
        <w:ind w:left="567"/>
        <w:rPr>
          <w:rFonts w:ascii="Arial" w:hAnsi="Arial" w:cs="Arial"/>
          <w:b/>
          <w:bCs/>
          <w:sz w:val="20"/>
          <w:szCs w:val="20"/>
        </w:rPr>
      </w:pPr>
      <w:r w:rsidRPr="005732FC">
        <w:rPr>
          <w:rFonts w:ascii="Arial" w:hAnsi="Arial" w:cs="Arial"/>
          <w:b/>
          <w:bCs/>
          <w:sz w:val="20"/>
          <w:szCs w:val="20"/>
        </w:rPr>
        <w:t>Riesgos por tipo de cambio.</w:t>
      </w:r>
    </w:p>
    <w:p w14:paraId="50949799" w14:textId="77777777" w:rsidR="008E60BA" w:rsidRPr="005732FC" w:rsidRDefault="008E60BA" w:rsidP="008E60BA">
      <w:pPr>
        <w:spacing w:after="0"/>
        <w:jc w:val="both"/>
        <w:rPr>
          <w:rFonts w:ascii="Arial" w:hAnsi="Arial" w:cs="Arial"/>
          <w:sz w:val="20"/>
          <w:szCs w:val="20"/>
        </w:rPr>
      </w:pPr>
    </w:p>
    <w:p w14:paraId="55EEB066" w14:textId="56E94851" w:rsidR="008E60BA" w:rsidRPr="005732FC" w:rsidRDefault="008E60BA" w:rsidP="008E60BA">
      <w:pPr>
        <w:spacing w:after="0"/>
        <w:jc w:val="both"/>
        <w:rPr>
          <w:rFonts w:ascii="Arial" w:hAnsi="Arial" w:cs="Arial"/>
          <w:sz w:val="20"/>
          <w:szCs w:val="20"/>
        </w:rPr>
      </w:pPr>
      <w:r w:rsidRPr="005732FC">
        <w:rPr>
          <w:rFonts w:ascii="Arial" w:hAnsi="Arial" w:cs="Arial"/>
          <w:sz w:val="20"/>
          <w:szCs w:val="20"/>
        </w:rPr>
        <w:t>El Municipio de Benito Juárez no realiza operaciones en moneda extranjera.</w:t>
      </w:r>
    </w:p>
    <w:p w14:paraId="69DF8021" w14:textId="3C699482" w:rsidR="008E60BA" w:rsidRPr="005732FC" w:rsidRDefault="008E60BA" w:rsidP="005D2B3E">
      <w:pPr>
        <w:spacing w:after="0"/>
        <w:jc w:val="both"/>
        <w:rPr>
          <w:rFonts w:ascii="Arial" w:hAnsi="Arial" w:cs="Arial"/>
          <w:sz w:val="20"/>
          <w:szCs w:val="20"/>
        </w:rPr>
      </w:pPr>
    </w:p>
    <w:p w14:paraId="742F6246" w14:textId="1D9350BA" w:rsidR="008E60BA" w:rsidRPr="005732FC" w:rsidRDefault="008E60BA" w:rsidP="008E60BA">
      <w:pPr>
        <w:pStyle w:val="Ttulo2"/>
        <w:numPr>
          <w:ilvl w:val="1"/>
          <w:numId w:val="6"/>
        </w:numPr>
        <w:spacing w:before="0"/>
        <w:ind w:left="567"/>
        <w:rPr>
          <w:rFonts w:ascii="Arial" w:hAnsi="Arial" w:cs="Arial"/>
          <w:b/>
          <w:bCs/>
          <w:sz w:val="20"/>
          <w:szCs w:val="20"/>
        </w:rPr>
      </w:pPr>
      <w:r w:rsidRPr="005732FC">
        <w:rPr>
          <w:rFonts w:ascii="Arial" w:hAnsi="Arial" w:cs="Arial"/>
          <w:b/>
          <w:bCs/>
          <w:sz w:val="20"/>
          <w:szCs w:val="20"/>
        </w:rPr>
        <w:t>Valor en el ejercicio de los bienes construidos por la entidad.</w:t>
      </w:r>
    </w:p>
    <w:p w14:paraId="2C65B1DB" w14:textId="77777777" w:rsidR="008E60BA" w:rsidRPr="005732FC" w:rsidRDefault="008E60BA" w:rsidP="008E60BA">
      <w:pPr>
        <w:spacing w:after="0"/>
      </w:pPr>
    </w:p>
    <w:p w14:paraId="27F6CF45" w14:textId="73F849BC" w:rsidR="008E60BA" w:rsidRPr="005732FC" w:rsidRDefault="008E60BA" w:rsidP="008E60BA">
      <w:pPr>
        <w:spacing w:after="0"/>
        <w:rPr>
          <w:rFonts w:ascii="Arial" w:hAnsi="Arial" w:cs="Arial"/>
          <w:sz w:val="20"/>
          <w:szCs w:val="20"/>
        </w:rPr>
      </w:pPr>
      <w:r w:rsidRPr="005732FC">
        <w:rPr>
          <w:rFonts w:ascii="Arial" w:hAnsi="Arial" w:cs="Arial"/>
          <w:sz w:val="20"/>
          <w:szCs w:val="20"/>
        </w:rPr>
        <w:t>Al periodo que se presenta, no existe información que revelar en este segmento.</w:t>
      </w:r>
    </w:p>
    <w:p w14:paraId="28568857" w14:textId="77777777" w:rsidR="008E60BA" w:rsidRPr="005732FC" w:rsidRDefault="008E60BA" w:rsidP="008E60BA">
      <w:pPr>
        <w:spacing w:after="0"/>
        <w:rPr>
          <w:rFonts w:ascii="Arial" w:hAnsi="Arial" w:cs="Arial"/>
          <w:sz w:val="20"/>
          <w:szCs w:val="20"/>
        </w:rPr>
      </w:pPr>
    </w:p>
    <w:p w14:paraId="403705B4" w14:textId="1CE8EC53" w:rsidR="008E60BA" w:rsidRPr="005732FC" w:rsidRDefault="008E60BA" w:rsidP="008E60BA">
      <w:pPr>
        <w:pStyle w:val="Ttulo2"/>
        <w:numPr>
          <w:ilvl w:val="1"/>
          <w:numId w:val="6"/>
        </w:numPr>
        <w:spacing w:before="0"/>
        <w:ind w:left="567"/>
        <w:rPr>
          <w:rFonts w:ascii="Arial" w:hAnsi="Arial" w:cs="Arial"/>
          <w:b/>
          <w:bCs/>
          <w:sz w:val="20"/>
          <w:szCs w:val="20"/>
        </w:rPr>
      </w:pPr>
      <w:r w:rsidRPr="005732FC">
        <w:rPr>
          <w:rFonts w:ascii="Arial" w:hAnsi="Arial" w:cs="Arial"/>
          <w:b/>
          <w:bCs/>
          <w:sz w:val="20"/>
          <w:szCs w:val="20"/>
        </w:rPr>
        <w:t>Circunstancias que pudieran afectar el activo.</w:t>
      </w:r>
    </w:p>
    <w:p w14:paraId="6B8878EB" w14:textId="77777777" w:rsidR="008E60BA" w:rsidRPr="005732FC" w:rsidRDefault="008E60BA" w:rsidP="008E60BA">
      <w:pPr>
        <w:spacing w:after="0"/>
        <w:jc w:val="both"/>
        <w:rPr>
          <w:rFonts w:ascii="Arial" w:hAnsi="Arial" w:cs="Arial"/>
          <w:b/>
          <w:bCs/>
          <w:sz w:val="20"/>
          <w:szCs w:val="20"/>
        </w:rPr>
      </w:pPr>
    </w:p>
    <w:p w14:paraId="32297F58" w14:textId="00FFAC7A" w:rsidR="00BA3347" w:rsidRPr="005732FC" w:rsidRDefault="00BA3347" w:rsidP="008E60BA">
      <w:pPr>
        <w:spacing w:after="0"/>
        <w:jc w:val="both"/>
        <w:rPr>
          <w:rFonts w:ascii="Arial" w:hAnsi="Arial" w:cs="Arial"/>
          <w:sz w:val="20"/>
          <w:szCs w:val="20"/>
        </w:rPr>
      </w:pPr>
      <w:r w:rsidRPr="005732FC">
        <w:rPr>
          <w:rFonts w:ascii="Arial" w:hAnsi="Arial" w:cs="Arial"/>
          <w:b/>
          <w:bCs/>
          <w:sz w:val="20"/>
          <w:szCs w:val="20"/>
        </w:rPr>
        <w:t>Venta y baja de bienes muebles e inmuebles.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7D071700"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40A5882" w14:textId="00CD73D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Procederá el registro de baja de bienes muebles e inmuebles cuando así sea dictaminado de conformidad con la normatividad y legislación Municipal aplicable, ya sea por inservible, venta o donación</w:t>
      </w:r>
      <w:r w:rsidR="009E00EA" w:rsidRPr="005732FC">
        <w:rPr>
          <w:rFonts w:ascii="Arial" w:hAnsi="Arial" w:cs="Arial"/>
          <w:sz w:val="20"/>
          <w:szCs w:val="20"/>
        </w:rPr>
        <w:t>.</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BF2304A" w14:textId="1CAAC043"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 xml:space="preserve">Cuando se realice la venta de un activo fijo se deberá establecer su propio valor de venta, de conformidad con la legislación y normatividad de la materia y registrar el ingreso correspondiente.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561E224" w14:textId="6791331E"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Cuando por alguna razón no se cuente con la documentación que acredite la propiedad y características originales del bien que se proponga para la baja o venta, corresponderá al titular de la Dirección de Patrimonio, justificar esta situación y proporcionar los elementos necesarios para cumplimentar el procedimiento administrativo correspondiente.</w:t>
      </w:r>
      <w:r w:rsidRPr="005732FC">
        <w:rPr>
          <w:rFonts w:ascii="Arial" w:hAnsi="Arial" w:cs="Arial"/>
          <w:sz w:val="20"/>
          <w:szCs w:val="20"/>
        </w:rPr>
        <w:tab/>
      </w:r>
    </w:p>
    <w:p w14:paraId="470CF448" w14:textId="0254E8EE"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04C8BBB" w14:textId="542F133A" w:rsidR="008E60BA" w:rsidRPr="005732FC" w:rsidRDefault="008E60BA" w:rsidP="008E60BA">
      <w:pPr>
        <w:pStyle w:val="Ttulo2"/>
        <w:numPr>
          <w:ilvl w:val="1"/>
          <w:numId w:val="6"/>
        </w:numPr>
        <w:spacing w:before="0"/>
        <w:ind w:left="567"/>
        <w:rPr>
          <w:rFonts w:ascii="Arial" w:hAnsi="Arial" w:cs="Arial"/>
          <w:b/>
          <w:bCs/>
          <w:sz w:val="20"/>
          <w:szCs w:val="20"/>
        </w:rPr>
      </w:pPr>
      <w:r w:rsidRPr="005732FC">
        <w:rPr>
          <w:rFonts w:ascii="Arial" w:hAnsi="Arial" w:cs="Arial"/>
          <w:b/>
          <w:bCs/>
          <w:sz w:val="20"/>
          <w:szCs w:val="20"/>
        </w:rPr>
        <w:t>Desmantelamiento de activos, procedimientos, implicaciones, efectos contables.</w:t>
      </w:r>
    </w:p>
    <w:p w14:paraId="2BC0C637" w14:textId="77777777" w:rsidR="008E60BA" w:rsidRPr="005732FC" w:rsidRDefault="008E60BA" w:rsidP="008E60BA">
      <w:pPr>
        <w:spacing w:after="0"/>
      </w:pPr>
    </w:p>
    <w:p w14:paraId="13B56E76" w14:textId="77777777" w:rsidR="008E60BA" w:rsidRPr="005732FC" w:rsidRDefault="008E60BA" w:rsidP="008E60BA">
      <w:pPr>
        <w:spacing w:after="0"/>
        <w:rPr>
          <w:rFonts w:ascii="Arial" w:hAnsi="Arial" w:cs="Arial"/>
          <w:sz w:val="20"/>
          <w:szCs w:val="20"/>
        </w:rPr>
      </w:pPr>
      <w:r w:rsidRPr="005732FC">
        <w:rPr>
          <w:rFonts w:ascii="Arial" w:hAnsi="Arial" w:cs="Arial"/>
          <w:sz w:val="20"/>
          <w:szCs w:val="20"/>
        </w:rPr>
        <w:t>Al periodo que se presenta, no hay información que revelar en este segmento.</w:t>
      </w:r>
    </w:p>
    <w:p w14:paraId="1C861D69" w14:textId="77777777" w:rsidR="00BF69A4" w:rsidRPr="005732FC" w:rsidRDefault="00BF69A4" w:rsidP="008E60BA">
      <w:pPr>
        <w:spacing w:after="0"/>
      </w:pPr>
    </w:p>
    <w:p w14:paraId="3C372AC9" w14:textId="77777777" w:rsidR="00930683" w:rsidRPr="005732FC" w:rsidRDefault="00930683" w:rsidP="008E60BA">
      <w:pPr>
        <w:spacing w:after="0"/>
      </w:pPr>
    </w:p>
    <w:p w14:paraId="10B721E2" w14:textId="492BEF1A" w:rsidR="00FD1EE4" w:rsidRPr="005732FC" w:rsidRDefault="008E60BA" w:rsidP="00AC3771">
      <w:pPr>
        <w:pStyle w:val="Ttulo2"/>
        <w:numPr>
          <w:ilvl w:val="1"/>
          <w:numId w:val="6"/>
        </w:numPr>
        <w:spacing w:before="0"/>
        <w:ind w:left="567"/>
        <w:rPr>
          <w:rFonts w:ascii="Arial" w:hAnsi="Arial" w:cs="Arial"/>
          <w:b/>
          <w:bCs/>
          <w:sz w:val="20"/>
          <w:szCs w:val="20"/>
        </w:rPr>
      </w:pPr>
      <w:r w:rsidRPr="005732FC">
        <w:rPr>
          <w:rFonts w:ascii="Arial" w:hAnsi="Arial" w:cs="Arial"/>
          <w:b/>
          <w:bCs/>
          <w:sz w:val="20"/>
          <w:szCs w:val="20"/>
        </w:rPr>
        <w:lastRenderedPageBreak/>
        <w:t>Administración de activos.</w:t>
      </w:r>
    </w:p>
    <w:p w14:paraId="1E48456A" w14:textId="77777777" w:rsidR="00AC3771" w:rsidRPr="005732FC" w:rsidRDefault="00AC3771" w:rsidP="00AC3771">
      <w:pPr>
        <w:spacing w:after="0"/>
      </w:pPr>
    </w:p>
    <w:p w14:paraId="222EF2E4" w14:textId="7793DA12" w:rsidR="00BA3347" w:rsidRPr="005732FC" w:rsidRDefault="008E60BA" w:rsidP="00FD1EE4">
      <w:pPr>
        <w:rPr>
          <w:rFonts w:ascii="Arial" w:hAnsi="Arial" w:cs="Arial"/>
          <w:sz w:val="20"/>
          <w:szCs w:val="20"/>
        </w:rPr>
      </w:pPr>
      <w:r w:rsidRPr="005732FC">
        <w:rPr>
          <w:rFonts w:ascii="Arial" w:hAnsi="Arial" w:cs="Arial"/>
          <w:sz w:val="20"/>
          <w:szCs w:val="20"/>
        </w:rPr>
        <w:t>Al cierre del periodo que se presenta, no se cuenta con información de contratos por arrendamiento</w:t>
      </w:r>
      <w:r w:rsidR="00FD1EE4" w:rsidRPr="005732FC">
        <w:rPr>
          <w:rFonts w:ascii="Arial" w:hAnsi="Arial" w:cs="Arial"/>
          <w:sz w:val="20"/>
          <w:szCs w:val="20"/>
        </w:rPr>
        <w:t xml:space="preserve"> de bienes inmuebles del Municipio de Benito Juárez.</w:t>
      </w:r>
      <w:r w:rsidR="00BA3347" w:rsidRPr="005732FC">
        <w:rPr>
          <w:rFonts w:ascii="Arial" w:hAnsi="Arial" w:cs="Arial"/>
          <w:sz w:val="20"/>
          <w:szCs w:val="20"/>
        </w:rPr>
        <w:tab/>
      </w:r>
    </w:p>
    <w:p w14:paraId="33943859" w14:textId="359E91BF" w:rsidR="00FD1EE4" w:rsidRPr="005732FC" w:rsidRDefault="00FD1EE4" w:rsidP="00FD1EE4">
      <w:pPr>
        <w:pStyle w:val="Ttulo2"/>
        <w:ind w:left="284"/>
        <w:rPr>
          <w:rFonts w:ascii="Arial" w:hAnsi="Arial" w:cs="Arial"/>
          <w:b/>
          <w:bCs/>
          <w:sz w:val="20"/>
          <w:szCs w:val="20"/>
        </w:rPr>
      </w:pPr>
      <w:r w:rsidRPr="005732FC">
        <w:rPr>
          <w:rFonts w:ascii="Arial" w:hAnsi="Arial" w:cs="Arial"/>
          <w:b/>
          <w:bCs/>
          <w:sz w:val="20"/>
          <w:szCs w:val="20"/>
        </w:rPr>
        <w:t>Principales variaciones en el activo.</w:t>
      </w:r>
    </w:p>
    <w:p w14:paraId="765F4224" w14:textId="77777777" w:rsidR="00FD1EE4" w:rsidRPr="005732FC" w:rsidRDefault="00FD1EE4" w:rsidP="00FD1EE4">
      <w:pPr>
        <w:spacing w:before="40"/>
        <w:rPr>
          <w:sz w:val="8"/>
          <w:szCs w:val="8"/>
        </w:rPr>
      </w:pPr>
    </w:p>
    <w:tbl>
      <w:tblPr>
        <w:tblW w:w="6540" w:type="dxa"/>
        <w:tblCellMar>
          <w:left w:w="70" w:type="dxa"/>
          <w:right w:w="70" w:type="dxa"/>
        </w:tblCellMar>
        <w:tblLook w:val="04A0" w:firstRow="1" w:lastRow="0" w:firstColumn="1" w:lastColumn="0" w:noHBand="0" w:noVBand="1"/>
      </w:tblPr>
      <w:tblGrid>
        <w:gridCol w:w="318"/>
        <w:gridCol w:w="5142"/>
        <w:gridCol w:w="1080"/>
      </w:tblGrid>
      <w:tr w:rsidR="00FD1EE4" w:rsidRPr="005732FC" w14:paraId="454FE13E" w14:textId="77777777" w:rsidTr="00FD1EE4">
        <w:trPr>
          <w:trHeight w:val="210"/>
        </w:trPr>
        <w:tc>
          <w:tcPr>
            <w:tcW w:w="5460" w:type="dxa"/>
            <w:gridSpan w:val="2"/>
            <w:tcBorders>
              <w:top w:val="single" w:sz="4" w:space="0" w:color="auto"/>
              <w:bottom w:val="single" w:sz="4" w:space="0" w:color="auto"/>
              <w:right w:val="nil"/>
            </w:tcBorders>
            <w:shd w:val="clear" w:color="auto" w:fill="D9D9D9" w:themeFill="background1" w:themeFillShade="D9"/>
            <w:vAlign w:val="bottom"/>
            <w:hideMark/>
          </w:tcPr>
          <w:p w14:paraId="55ABD2CE" w14:textId="77777777" w:rsidR="00FD1EE4" w:rsidRPr="005732FC"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Concepto</w:t>
            </w:r>
          </w:p>
        </w:tc>
        <w:tc>
          <w:tcPr>
            <w:tcW w:w="1080" w:type="dxa"/>
            <w:tcBorders>
              <w:top w:val="single" w:sz="4" w:space="0" w:color="auto"/>
              <w:left w:val="nil"/>
              <w:bottom w:val="single" w:sz="4" w:space="0" w:color="auto"/>
            </w:tcBorders>
            <w:shd w:val="clear" w:color="auto" w:fill="D9D9D9" w:themeFill="background1" w:themeFillShade="D9"/>
            <w:noWrap/>
            <w:vAlign w:val="bottom"/>
            <w:hideMark/>
          </w:tcPr>
          <w:p w14:paraId="3BC3102A" w14:textId="77777777" w:rsidR="00FD1EE4" w:rsidRPr="005732FC" w:rsidRDefault="00FD1EE4" w:rsidP="00FD1EE4">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w:t>
            </w:r>
          </w:p>
        </w:tc>
      </w:tr>
      <w:tr w:rsidR="00FD1EE4" w:rsidRPr="005732FC" w14:paraId="0D598667" w14:textId="77777777" w:rsidTr="00FC6C09">
        <w:trPr>
          <w:trHeight w:val="240"/>
        </w:trPr>
        <w:tc>
          <w:tcPr>
            <w:tcW w:w="318" w:type="dxa"/>
            <w:tcBorders>
              <w:top w:val="nil"/>
              <w:bottom w:val="nil"/>
              <w:right w:val="nil"/>
            </w:tcBorders>
            <w:shd w:val="clear" w:color="auto" w:fill="auto"/>
            <w:noWrap/>
            <w:vAlign w:val="center"/>
            <w:hideMark/>
          </w:tcPr>
          <w:p w14:paraId="2480D407" w14:textId="77777777" w:rsidR="00FD1EE4" w:rsidRPr="005732FC"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val="es-ES" w:eastAsia="es-MX"/>
                <w14:ligatures w14:val="none"/>
              </w:rPr>
              <w:t>a)</w:t>
            </w:r>
          </w:p>
        </w:tc>
        <w:tc>
          <w:tcPr>
            <w:tcW w:w="5142" w:type="dxa"/>
            <w:tcBorders>
              <w:top w:val="nil"/>
              <w:left w:val="nil"/>
              <w:bottom w:val="nil"/>
              <w:right w:val="nil"/>
            </w:tcBorders>
            <w:shd w:val="clear" w:color="auto" w:fill="auto"/>
            <w:vAlign w:val="center"/>
            <w:hideMark/>
          </w:tcPr>
          <w:p w14:paraId="7D52D579" w14:textId="77777777" w:rsidR="00FD1EE4" w:rsidRPr="005732FC"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Inversiones en valores.</w:t>
            </w:r>
          </w:p>
        </w:tc>
        <w:tc>
          <w:tcPr>
            <w:tcW w:w="1080" w:type="dxa"/>
            <w:tcBorders>
              <w:top w:val="nil"/>
              <w:left w:val="nil"/>
              <w:bottom w:val="nil"/>
            </w:tcBorders>
            <w:shd w:val="clear" w:color="auto" w:fill="auto"/>
            <w:noWrap/>
            <w:vAlign w:val="bottom"/>
            <w:hideMark/>
          </w:tcPr>
          <w:p w14:paraId="6DD4875A" w14:textId="77777777" w:rsidR="00FD1EE4" w:rsidRPr="005732FC"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No aplica</w:t>
            </w:r>
          </w:p>
        </w:tc>
      </w:tr>
      <w:tr w:rsidR="00FD1EE4" w:rsidRPr="005732FC" w14:paraId="0A95484C" w14:textId="77777777" w:rsidTr="00FC6C09">
        <w:trPr>
          <w:trHeight w:val="480"/>
        </w:trPr>
        <w:tc>
          <w:tcPr>
            <w:tcW w:w="318" w:type="dxa"/>
            <w:tcBorders>
              <w:top w:val="nil"/>
              <w:bottom w:val="nil"/>
              <w:right w:val="nil"/>
            </w:tcBorders>
            <w:shd w:val="clear" w:color="auto" w:fill="auto"/>
            <w:noWrap/>
            <w:vAlign w:val="center"/>
            <w:hideMark/>
          </w:tcPr>
          <w:p w14:paraId="3E85D6E3" w14:textId="77777777" w:rsidR="00FD1EE4" w:rsidRPr="005732FC"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val="es-ES" w:eastAsia="es-MX"/>
                <w14:ligatures w14:val="none"/>
              </w:rPr>
              <w:t>b)</w:t>
            </w:r>
          </w:p>
        </w:tc>
        <w:tc>
          <w:tcPr>
            <w:tcW w:w="5142" w:type="dxa"/>
            <w:tcBorders>
              <w:top w:val="nil"/>
              <w:left w:val="nil"/>
              <w:bottom w:val="nil"/>
              <w:right w:val="nil"/>
            </w:tcBorders>
            <w:shd w:val="clear" w:color="auto" w:fill="auto"/>
            <w:vAlign w:val="center"/>
            <w:hideMark/>
          </w:tcPr>
          <w:p w14:paraId="2F91A885" w14:textId="77777777" w:rsidR="00FD1EE4" w:rsidRPr="005732FC"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Patrimonio de Organismos Descentralizados de Control Presupuestario Indirecto.</w:t>
            </w:r>
          </w:p>
        </w:tc>
        <w:tc>
          <w:tcPr>
            <w:tcW w:w="1080" w:type="dxa"/>
            <w:tcBorders>
              <w:top w:val="nil"/>
              <w:left w:val="nil"/>
              <w:bottom w:val="nil"/>
            </w:tcBorders>
            <w:shd w:val="clear" w:color="auto" w:fill="auto"/>
            <w:noWrap/>
            <w:vAlign w:val="bottom"/>
            <w:hideMark/>
          </w:tcPr>
          <w:p w14:paraId="01FAB8EF" w14:textId="77777777" w:rsidR="00FD1EE4" w:rsidRPr="005732FC"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No aplica</w:t>
            </w:r>
          </w:p>
        </w:tc>
      </w:tr>
      <w:tr w:rsidR="00FD1EE4" w:rsidRPr="005732FC" w14:paraId="0B6F9043" w14:textId="77777777" w:rsidTr="00FC6C09">
        <w:trPr>
          <w:trHeight w:val="240"/>
        </w:trPr>
        <w:tc>
          <w:tcPr>
            <w:tcW w:w="318" w:type="dxa"/>
            <w:tcBorders>
              <w:top w:val="nil"/>
              <w:bottom w:val="nil"/>
              <w:right w:val="nil"/>
            </w:tcBorders>
            <w:shd w:val="clear" w:color="auto" w:fill="auto"/>
            <w:noWrap/>
            <w:vAlign w:val="center"/>
            <w:hideMark/>
          </w:tcPr>
          <w:p w14:paraId="1C034A2E" w14:textId="77777777" w:rsidR="00FD1EE4" w:rsidRPr="005732FC"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val="es-ES" w:eastAsia="es-MX"/>
                <w14:ligatures w14:val="none"/>
              </w:rPr>
              <w:t>c)</w:t>
            </w:r>
          </w:p>
        </w:tc>
        <w:tc>
          <w:tcPr>
            <w:tcW w:w="5142" w:type="dxa"/>
            <w:tcBorders>
              <w:top w:val="nil"/>
              <w:left w:val="nil"/>
              <w:bottom w:val="nil"/>
              <w:right w:val="nil"/>
            </w:tcBorders>
            <w:shd w:val="clear" w:color="auto" w:fill="auto"/>
            <w:vAlign w:val="center"/>
            <w:hideMark/>
          </w:tcPr>
          <w:p w14:paraId="45418484" w14:textId="77777777" w:rsidR="00FD1EE4" w:rsidRPr="005732FC"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Inversiones en empresas de participación mayoritaria.</w:t>
            </w:r>
          </w:p>
        </w:tc>
        <w:tc>
          <w:tcPr>
            <w:tcW w:w="1080" w:type="dxa"/>
            <w:tcBorders>
              <w:top w:val="nil"/>
              <w:left w:val="nil"/>
              <w:bottom w:val="nil"/>
            </w:tcBorders>
            <w:shd w:val="clear" w:color="auto" w:fill="auto"/>
            <w:noWrap/>
            <w:vAlign w:val="bottom"/>
            <w:hideMark/>
          </w:tcPr>
          <w:p w14:paraId="7D85A749" w14:textId="77777777" w:rsidR="00FD1EE4" w:rsidRPr="005732FC"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No aplica</w:t>
            </w:r>
          </w:p>
        </w:tc>
      </w:tr>
      <w:tr w:rsidR="00FD1EE4" w:rsidRPr="005732FC" w14:paraId="1A31C8AF" w14:textId="77777777" w:rsidTr="00FC6C09">
        <w:trPr>
          <w:trHeight w:val="240"/>
        </w:trPr>
        <w:tc>
          <w:tcPr>
            <w:tcW w:w="318" w:type="dxa"/>
            <w:tcBorders>
              <w:top w:val="nil"/>
              <w:bottom w:val="nil"/>
              <w:right w:val="nil"/>
            </w:tcBorders>
            <w:shd w:val="clear" w:color="auto" w:fill="auto"/>
            <w:noWrap/>
            <w:vAlign w:val="center"/>
            <w:hideMark/>
          </w:tcPr>
          <w:p w14:paraId="51FE0DD1" w14:textId="77777777" w:rsidR="00FD1EE4" w:rsidRPr="005732FC"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val="es-ES" w:eastAsia="es-MX"/>
                <w14:ligatures w14:val="none"/>
              </w:rPr>
              <w:t>d)</w:t>
            </w:r>
          </w:p>
        </w:tc>
        <w:tc>
          <w:tcPr>
            <w:tcW w:w="5142" w:type="dxa"/>
            <w:tcBorders>
              <w:top w:val="nil"/>
              <w:left w:val="nil"/>
              <w:bottom w:val="nil"/>
              <w:right w:val="nil"/>
            </w:tcBorders>
            <w:shd w:val="clear" w:color="auto" w:fill="auto"/>
            <w:vAlign w:val="center"/>
            <w:hideMark/>
          </w:tcPr>
          <w:p w14:paraId="1A64DC9A" w14:textId="77777777" w:rsidR="00FD1EE4" w:rsidRPr="005732FC"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Inversiones en empresas de participación minoritaria.</w:t>
            </w:r>
          </w:p>
        </w:tc>
        <w:tc>
          <w:tcPr>
            <w:tcW w:w="1080" w:type="dxa"/>
            <w:tcBorders>
              <w:top w:val="nil"/>
              <w:left w:val="nil"/>
              <w:bottom w:val="nil"/>
            </w:tcBorders>
            <w:shd w:val="clear" w:color="auto" w:fill="auto"/>
            <w:noWrap/>
            <w:vAlign w:val="bottom"/>
            <w:hideMark/>
          </w:tcPr>
          <w:p w14:paraId="2A6FB2F9" w14:textId="77777777" w:rsidR="00FD1EE4" w:rsidRPr="005732FC"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No aplica</w:t>
            </w:r>
          </w:p>
        </w:tc>
      </w:tr>
      <w:tr w:rsidR="00FD1EE4" w:rsidRPr="005732FC" w14:paraId="5B8AE58D" w14:textId="77777777" w:rsidTr="00FC6C09">
        <w:trPr>
          <w:trHeight w:val="480"/>
        </w:trPr>
        <w:tc>
          <w:tcPr>
            <w:tcW w:w="318" w:type="dxa"/>
            <w:tcBorders>
              <w:top w:val="nil"/>
              <w:bottom w:val="single" w:sz="4" w:space="0" w:color="auto"/>
              <w:right w:val="nil"/>
            </w:tcBorders>
            <w:shd w:val="clear" w:color="auto" w:fill="auto"/>
            <w:noWrap/>
            <w:vAlign w:val="center"/>
            <w:hideMark/>
          </w:tcPr>
          <w:p w14:paraId="02ECAD55" w14:textId="77777777" w:rsidR="00FD1EE4" w:rsidRPr="005732FC"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val="es-ES" w:eastAsia="es-MX"/>
                <w14:ligatures w14:val="none"/>
              </w:rPr>
              <w:t>e)</w:t>
            </w:r>
          </w:p>
        </w:tc>
        <w:tc>
          <w:tcPr>
            <w:tcW w:w="5142" w:type="dxa"/>
            <w:tcBorders>
              <w:top w:val="nil"/>
              <w:left w:val="nil"/>
              <w:bottom w:val="single" w:sz="4" w:space="0" w:color="auto"/>
              <w:right w:val="nil"/>
            </w:tcBorders>
            <w:shd w:val="clear" w:color="auto" w:fill="auto"/>
            <w:vAlign w:val="center"/>
            <w:hideMark/>
          </w:tcPr>
          <w:p w14:paraId="4CC23B7E" w14:textId="77777777" w:rsidR="00FD1EE4" w:rsidRPr="005732FC" w:rsidRDefault="00FD1EE4" w:rsidP="00FD1EE4">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Patrimonio de Organismos Descentralizados de Control Presupuestario Directo, según corresponda.</w:t>
            </w:r>
          </w:p>
        </w:tc>
        <w:tc>
          <w:tcPr>
            <w:tcW w:w="1080" w:type="dxa"/>
            <w:tcBorders>
              <w:top w:val="nil"/>
              <w:left w:val="nil"/>
              <w:bottom w:val="single" w:sz="4" w:space="0" w:color="auto"/>
            </w:tcBorders>
            <w:shd w:val="clear" w:color="auto" w:fill="auto"/>
            <w:noWrap/>
            <w:vAlign w:val="bottom"/>
            <w:hideMark/>
          </w:tcPr>
          <w:p w14:paraId="527131A8" w14:textId="77777777" w:rsidR="00FD1EE4" w:rsidRPr="005732FC" w:rsidRDefault="00FD1EE4" w:rsidP="00FD1EE4">
            <w:pPr>
              <w:spacing w:after="0" w:line="240" w:lineRule="auto"/>
              <w:jc w:val="center"/>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No aplica</w:t>
            </w:r>
          </w:p>
        </w:tc>
      </w:tr>
    </w:tbl>
    <w:p w14:paraId="5D807323" w14:textId="77777777" w:rsidR="00FC6C09" w:rsidRPr="005732FC" w:rsidRDefault="00FC6C09" w:rsidP="00FC6C09">
      <w:pPr>
        <w:keepNext/>
        <w:keepLines/>
        <w:numPr>
          <w:ilvl w:val="0"/>
          <w:numId w:val="6"/>
        </w:numPr>
        <w:spacing w:before="240" w:after="0"/>
        <w:ind w:left="0" w:hanging="284"/>
        <w:outlineLvl w:val="0"/>
        <w:rPr>
          <w:rFonts w:ascii="Arial" w:eastAsiaTheme="majorEastAsia" w:hAnsi="Arial" w:cs="Arial"/>
          <w:b/>
          <w:bCs/>
          <w:color w:val="2F5496" w:themeColor="accent1" w:themeShade="BF"/>
          <w:sz w:val="20"/>
          <w:szCs w:val="20"/>
        </w:rPr>
      </w:pPr>
      <w:r w:rsidRPr="005732FC">
        <w:rPr>
          <w:rFonts w:ascii="Arial" w:eastAsiaTheme="majorEastAsia" w:hAnsi="Arial" w:cs="Arial"/>
          <w:b/>
          <w:bCs/>
          <w:sz w:val="20"/>
          <w:szCs w:val="20"/>
        </w:rPr>
        <w:t>Fideicomisos, Mandatos y Análogos</w:t>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23CDF55C" w14:textId="77777777" w:rsidR="00FC6C09" w:rsidRPr="005732FC" w:rsidRDefault="00FC6C09" w:rsidP="00FC6C09">
      <w:pPr>
        <w:spacing w:after="0"/>
        <w:jc w:val="both"/>
        <w:rPr>
          <w:rFonts w:ascii="Arial" w:hAnsi="Arial" w:cs="Arial"/>
          <w:sz w:val="20"/>
          <w:szCs w:val="20"/>
        </w:rPr>
      </w:pPr>
    </w:p>
    <w:p w14:paraId="2F4A96A0" w14:textId="1072A448" w:rsidR="00FC6C09" w:rsidRPr="005732FC" w:rsidRDefault="00FC6C09" w:rsidP="00FC6C09">
      <w:pPr>
        <w:rPr>
          <w:rFonts w:ascii="Arial" w:hAnsi="Arial" w:cs="Arial"/>
          <w:sz w:val="20"/>
          <w:szCs w:val="20"/>
        </w:rPr>
      </w:pPr>
      <w:r w:rsidRPr="005732FC">
        <w:rPr>
          <w:rFonts w:ascii="Arial" w:hAnsi="Arial" w:cs="Arial"/>
          <w:sz w:val="20"/>
          <w:szCs w:val="20"/>
        </w:rPr>
        <w:t xml:space="preserve">En la cuenta de Depósitos de Fondos de Terceros en Garantía y/o administración existen fideicomisos cuyos saldos al 30 de </w:t>
      </w:r>
      <w:r w:rsidR="00461284" w:rsidRPr="005732FC">
        <w:rPr>
          <w:rFonts w:ascii="Arial" w:hAnsi="Arial" w:cs="Arial"/>
          <w:sz w:val="20"/>
          <w:szCs w:val="20"/>
        </w:rPr>
        <w:t>j</w:t>
      </w:r>
      <w:r w:rsidRPr="005732FC">
        <w:rPr>
          <w:rFonts w:ascii="Arial" w:hAnsi="Arial" w:cs="Arial"/>
          <w:sz w:val="20"/>
          <w:szCs w:val="20"/>
        </w:rPr>
        <w:t>unio del 2025 se integran de la siguiente manera:</w:t>
      </w:r>
    </w:p>
    <w:tbl>
      <w:tblPr>
        <w:tblW w:w="9923" w:type="dxa"/>
        <w:tblCellMar>
          <w:left w:w="70" w:type="dxa"/>
          <w:right w:w="70" w:type="dxa"/>
        </w:tblCellMar>
        <w:tblLook w:val="04A0" w:firstRow="1" w:lastRow="0" w:firstColumn="1" w:lastColumn="0" w:noHBand="0" w:noVBand="1"/>
      </w:tblPr>
      <w:tblGrid>
        <w:gridCol w:w="5529"/>
        <w:gridCol w:w="2126"/>
        <w:gridCol w:w="2268"/>
      </w:tblGrid>
      <w:tr w:rsidR="00FC6C09" w:rsidRPr="005732FC" w14:paraId="7FE2413C" w14:textId="77777777" w:rsidTr="008C77A6">
        <w:trPr>
          <w:trHeight w:val="17"/>
        </w:trPr>
        <w:tc>
          <w:tcPr>
            <w:tcW w:w="5529" w:type="dxa"/>
            <w:tcBorders>
              <w:top w:val="single" w:sz="8" w:space="0" w:color="auto"/>
              <w:left w:val="nil"/>
              <w:bottom w:val="single" w:sz="8" w:space="0" w:color="auto"/>
              <w:right w:val="nil"/>
            </w:tcBorders>
            <w:shd w:val="clear" w:color="000000" w:fill="D9D9D9"/>
            <w:noWrap/>
            <w:vAlign w:val="center"/>
            <w:hideMark/>
          </w:tcPr>
          <w:p w14:paraId="5B81478C" w14:textId="77777777" w:rsidR="00FC6C09" w:rsidRPr="005732FC" w:rsidRDefault="00FC6C09" w:rsidP="00FC6C09">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126" w:type="dxa"/>
            <w:tcBorders>
              <w:top w:val="single" w:sz="8" w:space="0" w:color="auto"/>
              <w:left w:val="nil"/>
              <w:bottom w:val="single" w:sz="8" w:space="0" w:color="auto"/>
              <w:right w:val="nil"/>
            </w:tcBorders>
            <w:shd w:val="clear" w:color="000000" w:fill="D9D9D9"/>
            <w:vAlign w:val="center"/>
            <w:hideMark/>
          </w:tcPr>
          <w:p w14:paraId="09A2B462" w14:textId="77777777" w:rsidR="00FC6C09" w:rsidRPr="005732FC" w:rsidRDefault="00FC6C09" w:rsidP="00FC6C09">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41EEC401" w14:textId="77777777" w:rsidR="00FC6C09" w:rsidRPr="005732FC" w:rsidRDefault="00FC6C09" w:rsidP="00FC6C09">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FC6C09" w:rsidRPr="005732FC" w14:paraId="0CD43B5C" w14:textId="77777777" w:rsidTr="008C77A6">
        <w:trPr>
          <w:trHeight w:val="17"/>
        </w:trPr>
        <w:tc>
          <w:tcPr>
            <w:tcW w:w="5529" w:type="dxa"/>
            <w:tcBorders>
              <w:top w:val="nil"/>
              <w:left w:val="nil"/>
              <w:bottom w:val="nil"/>
              <w:right w:val="nil"/>
            </w:tcBorders>
            <w:shd w:val="clear" w:color="auto" w:fill="auto"/>
            <w:vAlign w:val="center"/>
            <w:hideMark/>
          </w:tcPr>
          <w:p w14:paraId="25EDAA10" w14:textId="77777777" w:rsidR="00FC6C09" w:rsidRPr="005732FC" w:rsidRDefault="00FC6C09" w:rsidP="00FC6C09">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6001 banco interacciones cta-0371800030215185</w:t>
            </w:r>
          </w:p>
        </w:tc>
        <w:tc>
          <w:tcPr>
            <w:tcW w:w="2126" w:type="dxa"/>
            <w:tcBorders>
              <w:top w:val="nil"/>
              <w:left w:val="nil"/>
              <w:bottom w:val="nil"/>
              <w:right w:val="nil"/>
            </w:tcBorders>
            <w:shd w:val="clear" w:color="auto" w:fill="auto"/>
            <w:noWrap/>
            <w:vAlign w:val="center"/>
            <w:hideMark/>
          </w:tcPr>
          <w:p w14:paraId="29A1E6AE"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hAnsi="Arial" w:cs="Arial"/>
                <w:sz w:val="20"/>
                <w:szCs w:val="20"/>
              </w:rPr>
              <w:t xml:space="preserve">              72,094.86 </w:t>
            </w:r>
          </w:p>
        </w:tc>
        <w:tc>
          <w:tcPr>
            <w:tcW w:w="2268" w:type="dxa"/>
            <w:tcBorders>
              <w:top w:val="nil"/>
              <w:left w:val="nil"/>
              <w:bottom w:val="nil"/>
              <w:right w:val="nil"/>
            </w:tcBorders>
            <w:shd w:val="clear" w:color="auto" w:fill="auto"/>
            <w:noWrap/>
            <w:vAlign w:val="center"/>
            <w:hideMark/>
          </w:tcPr>
          <w:p w14:paraId="431B63E6"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72,094.86</w:t>
            </w:r>
          </w:p>
        </w:tc>
      </w:tr>
      <w:tr w:rsidR="00FC6C09" w:rsidRPr="005732FC" w14:paraId="3891A9F3" w14:textId="77777777" w:rsidTr="008C77A6">
        <w:trPr>
          <w:trHeight w:val="17"/>
        </w:trPr>
        <w:tc>
          <w:tcPr>
            <w:tcW w:w="5529" w:type="dxa"/>
            <w:tcBorders>
              <w:top w:val="nil"/>
              <w:left w:val="nil"/>
              <w:bottom w:val="nil"/>
              <w:right w:val="nil"/>
            </w:tcBorders>
            <w:shd w:val="clear" w:color="auto" w:fill="auto"/>
            <w:noWrap/>
            <w:vAlign w:val="center"/>
            <w:hideMark/>
          </w:tcPr>
          <w:p w14:paraId="44F5F2DE" w14:textId="77777777" w:rsidR="00FC6C09" w:rsidRPr="005732FC" w:rsidRDefault="00FC6C09" w:rsidP="00FC6C09">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Banamex cta-160645-8</w:t>
            </w:r>
          </w:p>
        </w:tc>
        <w:tc>
          <w:tcPr>
            <w:tcW w:w="2126" w:type="dxa"/>
            <w:tcBorders>
              <w:top w:val="nil"/>
              <w:left w:val="nil"/>
              <w:bottom w:val="nil"/>
              <w:right w:val="nil"/>
            </w:tcBorders>
            <w:shd w:val="clear" w:color="auto" w:fill="auto"/>
            <w:noWrap/>
            <w:vAlign w:val="center"/>
            <w:hideMark/>
          </w:tcPr>
          <w:p w14:paraId="2A72FC33"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hAnsi="Arial" w:cs="Arial"/>
                <w:sz w:val="20"/>
                <w:szCs w:val="20"/>
              </w:rPr>
              <w:t xml:space="preserve">              58,285.23 </w:t>
            </w:r>
          </w:p>
        </w:tc>
        <w:tc>
          <w:tcPr>
            <w:tcW w:w="2268" w:type="dxa"/>
            <w:tcBorders>
              <w:top w:val="nil"/>
              <w:left w:val="nil"/>
              <w:bottom w:val="nil"/>
              <w:right w:val="nil"/>
            </w:tcBorders>
            <w:shd w:val="clear" w:color="auto" w:fill="auto"/>
            <w:noWrap/>
            <w:vAlign w:val="center"/>
            <w:hideMark/>
          </w:tcPr>
          <w:p w14:paraId="18420A4B"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58,285.23</w:t>
            </w:r>
          </w:p>
        </w:tc>
      </w:tr>
      <w:tr w:rsidR="00FC6C09" w:rsidRPr="005732FC" w14:paraId="739A531E" w14:textId="77777777" w:rsidTr="008C77A6">
        <w:trPr>
          <w:trHeight w:val="17"/>
        </w:trPr>
        <w:tc>
          <w:tcPr>
            <w:tcW w:w="5529" w:type="dxa"/>
            <w:tcBorders>
              <w:top w:val="nil"/>
              <w:left w:val="nil"/>
              <w:bottom w:val="nil"/>
              <w:right w:val="nil"/>
            </w:tcBorders>
            <w:shd w:val="clear" w:color="auto" w:fill="auto"/>
            <w:noWrap/>
            <w:vAlign w:val="center"/>
            <w:hideMark/>
          </w:tcPr>
          <w:p w14:paraId="4731ACCA" w14:textId="77777777" w:rsidR="00FC6C09" w:rsidRPr="005732FC" w:rsidRDefault="00FC6C09" w:rsidP="00FC6C09">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Banamex cta-160682-2</w:t>
            </w:r>
          </w:p>
        </w:tc>
        <w:tc>
          <w:tcPr>
            <w:tcW w:w="2126" w:type="dxa"/>
            <w:tcBorders>
              <w:top w:val="nil"/>
              <w:left w:val="nil"/>
              <w:bottom w:val="nil"/>
              <w:right w:val="nil"/>
            </w:tcBorders>
            <w:shd w:val="clear" w:color="auto" w:fill="auto"/>
            <w:noWrap/>
            <w:vAlign w:val="center"/>
            <w:hideMark/>
          </w:tcPr>
          <w:p w14:paraId="57BE8F3B"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hAnsi="Arial" w:cs="Arial"/>
                <w:sz w:val="20"/>
                <w:szCs w:val="20"/>
              </w:rPr>
              <w:t xml:space="preserve">         1,258,875.05 </w:t>
            </w:r>
          </w:p>
        </w:tc>
        <w:tc>
          <w:tcPr>
            <w:tcW w:w="2268" w:type="dxa"/>
            <w:tcBorders>
              <w:top w:val="nil"/>
              <w:left w:val="nil"/>
              <w:bottom w:val="nil"/>
              <w:right w:val="nil"/>
            </w:tcBorders>
            <w:shd w:val="clear" w:color="auto" w:fill="auto"/>
            <w:noWrap/>
            <w:vAlign w:val="center"/>
            <w:hideMark/>
          </w:tcPr>
          <w:p w14:paraId="4489C012"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1,258,875.05</w:t>
            </w:r>
          </w:p>
        </w:tc>
      </w:tr>
      <w:tr w:rsidR="00FC6C09" w:rsidRPr="005732FC" w14:paraId="3F337F1A" w14:textId="77777777" w:rsidTr="008C77A6">
        <w:trPr>
          <w:trHeight w:val="17"/>
        </w:trPr>
        <w:tc>
          <w:tcPr>
            <w:tcW w:w="5529" w:type="dxa"/>
            <w:tcBorders>
              <w:top w:val="nil"/>
              <w:left w:val="nil"/>
              <w:bottom w:val="nil"/>
              <w:right w:val="nil"/>
            </w:tcBorders>
            <w:shd w:val="clear" w:color="auto" w:fill="auto"/>
            <w:noWrap/>
            <w:vAlign w:val="center"/>
            <w:hideMark/>
          </w:tcPr>
          <w:p w14:paraId="0273AB46" w14:textId="77777777" w:rsidR="00FC6C09" w:rsidRPr="005732FC" w:rsidRDefault="00FC6C09" w:rsidP="00FC6C09">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Santander Serfin cta. 2078</w:t>
            </w:r>
          </w:p>
        </w:tc>
        <w:tc>
          <w:tcPr>
            <w:tcW w:w="2126" w:type="dxa"/>
            <w:tcBorders>
              <w:top w:val="nil"/>
              <w:left w:val="nil"/>
              <w:bottom w:val="nil"/>
              <w:right w:val="nil"/>
            </w:tcBorders>
            <w:shd w:val="clear" w:color="auto" w:fill="auto"/>
            <w:noWrap/>
            <w:vAlign w:val="center"/>
            <w:hideMark/>
          </w:tcPr>
          <w:p w14:paraId="2A7E5C32"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hAnsi="Arial" w:cs="Arial"/>
                <w:sz w:val="20"/>
                <w:szCs w:val="20"/>
              </w:rPr>
              <w:t xml:space="preserve">            196,125.06 </w:t>
            </w:r>
          </w:p>
        </w:tc>
        <w:tc>
          <w:tcPr>
            <w:tcW w:w="2268" w:type="dxa"/>
            <w:tcBorders>
              <w:top w:val="nil"/>
              <w:left w:val="nil"/>
              <w:bottom w:val="nil"/>
              <w:right w:val="nil"/>
            </w:tcBorders>
            <w:shd w:val="clear" w:color="auto" w:fill="auto"/>
            <w:noWrap/>
            <w:vAlign w:val="center"/>
            <w:hideMark/>
          </w:tcPr>
          <w:p w14:paraId="4CA3B3BF"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196,125.06</w:t>
            </w:r>
          </w:p>
        </w:tc>
      </w:tr>
      <w:tr w:rsidR="00FC6C09" w:rsidRPr="005732FC" w14:paraId="22CAB584" w14:textId="77777777" w:rsidTr="008C77A6">
        <w:trPr>
          <w:trHeight w:val="17"/>
        </w:trPr>
        <w:tc>
          <w:tcPr>
            <w:tcW w:w="5529" w:type="dxa"/>
            <w:tcBorders>
              <w:top w:val="nil"/>
              <w:left w:val="nil"/>
              <w:bottom w:val="nil"/>
              <w:right w:val="nil"/>
            </w:tcBorders>
            <w:shd w:val="clear" w:color="auto" w:fill="auto"/>
            <w:vAlign w:val="center"/>
            <w:hideMark/>
          </w:tcPr>
          <w:p w14:paraId="359FE4AF" w14:textId="77777777" w:rsidR="00FC6C09" w:rsidRPr="005732FC" w:rsidRDefault="00FC6C09" w:rsidP="00FC6C09">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N0. 4106951 BBVA BANCOMER S.A. 0112955911 Saneamiento A.</w:t>
            </w:r>
          </w:p>
        </w:tc>
        <w:tc>
          <w:tcPr>
            <w:tcW w:w="2126" w:type="dxa"/>
            <w:tcBorders>
              <w:top w:val="nil"/>
              <w:left w:val="nil"/>
              <w:bottom w:val="nil"/>
              <w:right w:val="nil"/>
            </w:tcBorders>
            <w:shd w:val="clear" w:color="auto" w:fill="auto"/>
            <w:noWrap/>
            <w:vAlign w:val="center"/>
            <w:hideMark/>
          </w:tcPr>
          <w:p w14:paraId="5214D80D"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hAnsi="Arial" w:cs="Arial"/>
                <w:sz w:val="20"/>
                <w:szCs w:val="20"/>
              </w:rPr>
              <w:t xml:space="preserve">       248,435,830.38  </w:t>
            </w:r>
          </w:p>
        </w:tc>
        <w:tc>
          <w:tcPr>
            <w:tcW w:w="2268" w:type="dxa"/>
            <w:tcBorders>
              <w:top w:val="nil"/>
              <w:left w:val="nil"/>
              <w:bottom w:val="nil"/>
              <w:right w:val="nil"/>
            </w:tcBorders>
            <w:shd w:val="clear" w:color="auto" w:fill="auto"/>
            <w:noWrap/>
            <w:vAlign w:val="center"/>
            <w:hideMark/>
          </w:tcPr>
          <w:p w14:paraId="04B159B2"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252,925,237.19</w:t>
            </w:r>
          </w:p>
        </w:tc>
      </w:tr>
      <w:tr w:rsidR="00FC6C09" w:rsidRPr="005732FC" w14:paraId="4E57E1EF" w14:textId="77777777" w:rsidTr="008C77A6">
        <w:trPr>
          <w:trHeight w:val="17"/>
        </w:trPr>
        <w:tc>
          <w:tcPr>
            <w:tcW w:w="5529" w:type="dxa"/>
            <w:tcBorders>
              <w:top w:val="nil"/>
              <w:left w:val="nil"/>
              <w:bottom w:val="nil"/>
              <w:right w:val="nil"/>
            </w:tcBorders>
            <w:shd w:val="clear" w:color="auto" w:fill="auto"/>
            <w:vAlign w:val="center"/>
            <w:hideMark/>
          </w:tcPr>
          <w:p w14:paraId="55A2571A" w14:textId="77777777" w:rsidR="00FC6C09" w:rsidRPr="005732FC" w:rsidRDefault="00FC6C09" w:rsidP="00FC6C09">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N0. 4124053 BBVA MÉXICO S.A. 1003039099</w:t>
            </w:r>
          </w:p>
        </w:tc>
        <w:tc>
          <w:tcPr>
            <w:tcW w:w="2126" w:type="dxa"/>
            <w:tcBorders>
              <w:top w:val="nil"/>
              <w:left w:val="nil"/>
              <w:bottom w:val="nil"/>
              <w:right w:val="nil"/>
            </w:tcBorders>
            <w:shd w:val="clear" w:color="auto" w:fill="auto"/>
            <w:noWrap/>
            <w:vAlign w:val="center"/>
            <w:hideMark/>
          </w:tcPr>
          <w:p w14:paraId="4FF46B98"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hAnsi="Arial" w:cs="Arial"/>
                <w:sz w:val="20"/>
                <w:szCs w:val="20"/>
              </w:rPr>
              <w:t xml:space="preserve">                      32.79</w:t>
            </w:r>
          </w:p>
        </w:tc>
        <w:tc>
          <w:tcPr>
            <w:tcW w:w="2268" w:type="dxa"/>
            <w:tcBorders>
              <w:top w:val="nil"/>
              <w:left w:val="nil"/>
              <w:bottom w:val="nil"/>
              <w:right w:val="nil"/>
            </w:tcBorders>
            <w:shd w:val="clear" w:color="auto" w:fill="auto"/>
            <w:noWrap/>
            <w:vAlign w:val="center"/>
            <w:hideMark/>
          </w:tcPr>
          <w:p w14:paraId="6ED07651"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26.44</w:t>
            </w:r>
          </w:p>
        </w:tc>
      </w:tr>
      <w:tr w:rsidR="00FC6C09" w:rsidRPr="005732FC" w14:paraId="27B18D21" w14:textId="77777777" w:rsidTr="008C77A6">
        <w:trPr>
          <w:trHeight w:val="17"/>
        </w:trPr>
        <w:tc>
          <w:tcPr>
            <w:tcW w:w="5529" w:type="dxa"/>
            <w:tcBorders>
              <w:top w:val="nil"/>
              <w:left w:val="nil"/>
              <w:bottom w:val="nil"/>
              <w:right w:val="nil"/>
            </w:tcBorders>
            <w:shd w:val="clear" w:color="auto" w:fill="auto"/>
            <w:vAlign w:val="center"/>
            <w:hideMark/>
          </w:tcPr>
          <w:p w14:paraId="1C8365DE" w14:textId="77777777" w:rsidR="00FC6C09" w:rsidRPr="005732FC" w:rsidRDefault="00FC6C09" w:rsidP="00FC6C09">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Banorte 1106819486 / F750179 Recolección de Residuos Sólidos.</w:t>
            </w:r>
          </w:p>
        </w:tc>
        <w:tc>
          <w:tcPr>
            <w:tcW w:w="2126" w:type="dxa"/>
            <w:tcBorders>
              <w:top w:val="nil"/>
              <w:left w:val="nil"/>
              <w:bottom w:val="nil"/>
              <w:right w:val="nil"/>
            </w:tcBorders>
            <w:shd w:val="clear" w:color="auto" w:fill="auto"/>
            <w:noWrap/>
            <w:vAlign w:val="center"/>
            <w:hideMark/>
          </w:tcPr>
          <w:p w14:paraId="77E7B988"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hAnsi="Arial" w:cs="Arial"/>
                <w:sz w:val="20"/>
                <w:szCs w:val="20"/>
              </w:rPr>
              <w:t xml:space="preserve">            526,201.55</w:t>
            </w:r>
          </w:p>
        </w:tc>
        <w:tc>
          <w:tcPr>
            <w:tcW w:w="2268" w:type="dxa"/>
            <w:tcBorders>
              <w:top w:val="nil"/>
              <w:left w:val="nil"/>
              <w:bottom w:val="nil"/>
              <w:right w:val="nil"/>
            </w:tcBorders>
            <w:shd w:val="clear" w:color="auto" w:fill="auto"/>
            <w:noWrap/>
            <w:vAlign w:val="center"/>
            <w:hideMark/>
          </w:tcPr>
          <w:p w14:paraId="0FC585FA"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526,200.00</w:t>
            </w:r>
          </w:p>
        </w:tc>
      </w:tr>
      <w:tr w:rsidR="00FC6C09" w:rsidRPr="005732FC" w14:paraId="5BF11E18" w14:textId="77777777" w:rsidTr="008C77A6">
        <w:trPr>
          <w:trHeight w:val="17"/>
        </w:trPr>
        <w:tc>
          <w:tcPr>
            <w:tcW w:w="5529" w:type="dxa"/>
            <w:tcBorders>
              <w:top w:val="nil"/>
              <w:left w:val="nil"/>
              <w:bottom w:val="nil"/>
              <w:right w:val="nil"/>
            </w:tcBorders>
            <w:shd w:val="clear" w:color="auto" w:fill="auto"/>
            <w:vAlign w:val="center"/>
            <w:hideMark/>
          </w:tcPr>
          <w:p w14:paraId="61800580" w14:textId="77777777" w:rsidR="00FC6C09" w:rsidRPr="005732FC" w:rsidRDefault="00FC6C09" w:rsidP="00FC6C09">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N0. 2004041-0 Banco Santander (México), S. 72168 (</w:t>
            </w:r>
            <w:proofErr w:type="spellStart"/>
            <w:r w:rsidRPr="005732FC">
              <w:rPr>
                <w:rFonts w:ascii="Arial" w:eastAsia="Times New Roman" w:hAnsi="Arial" w:cs="Arial"/>
                <w:color w:val="000000"/>
                <w:kern w:val="0"/>
                <w:sz w:val="20"/>
                <w:szCs w:val="20"/>
                <w:lang w:eastAsia="es-MX"/>
                <w14:ligatures w14:val="none"/>
              </w:rPr>
              <w:t>Celsol</w:t>
            </w:r>
            <w:proofErr w:type="spellEnd"/>
            <w:r w:rsidRPr="005732FC">
              <w:rPr>
                <w:rFonts w:ascii="Arial" w:eastAsia="Times New Roman" w:hAnsi="Arial" w:cs="Arial"/>
                <w:color w:val="000000"/>
                <w:kern w:val="0"/>
                <w:sz w:val="20"/>
                <w:szCs w:val="20"/>
                <w:lang w:eastAsia="es-MX"/>
                <w14:ligatures w14:val="none"/>
              </w:rPr>
              <w:t>).</w:t>
            </w:r>
          </w:p>
        </w:tc>
        <w:tc>
          <w:tcPr>
            <w:tcW w:w="2126" w:type="dxa"/>
            <w:tcBorders>
              <w:top w:val="nil"/>
              <w:left w:val="nil"/>
              <w:bottom w:val="nil"/>
              <w:right w:val="nil"/>
            </w:tcBorders>
            <w:shd w:val="clear" w:color="auto" w:fill="auto"/>
            <w:noWrap/>
            <w:vAlign w:val="center"/>
            <w:hideMark/>
          </w:tcPr>
          <w:p w14:paraId="075FE987" w14:textId="77777777" w:rsidR="00FC6C09" w:rsidRPr="005732FC" w:rsidRDefault="00FC6C09" w:rsidP="00FC6C09">
            <w:pPr>
              <w:spacing w:after="0" w:line="240" w:lineRule="auto"/>
              <w:jc w:val="right"/>
              <w:rPr>
                <w:rFonts w:ascii="Arial" w:hAnsi="Arial" w:cs="Arial"/>
                <w:sz w:val="20"/>
                <w:szCs w:val="20"/>
              </w:rPr>
            </w:pPr>
            <w:r w:rsidRPr="005732FC">
              <w:rPr>
                <w:rFonts w:ascii="Arial" w:hAnsi="Arial" w:cs="Arial"/>
                <w:sz w:val="20"/>
                <w:szCs w:val="20"/>
              </w:rPr>
              <w:t xml:space="preserve">        144,583,462.25</w:t>
            </w:r>
          </w:p>
          <w:p w14:paraId="058E9459"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p>
        </w:tc>
        <w:tc>
          <w:tcPr>
            <w:tcW w:w="2268" w:type="dxa"/>
            <w:tcBorders>
              <w:top w:val="nil"/>
              <w:left w:val="nil"/>
              <w:bottom w:val="nil"/>
              <w:right w:val="nil"/>
            </w:tcBorders>
            <w:shd w:val="clear" w:color="auto" w:fill="auto"/>
            <w:noWrap/>
            <w:vAlign w:val="center"/>
            <w:hideMark/>
          </w:tcPr>
          <w:p w14:paraId="49DDC591"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144,022,144.45</w:t>
            </w:r>
          </w:p>
        </w:tc>
      </w:tr>
      <w:tr w:rsidR="00FC6C09" w:rsidRPr="005732FC" w14:paraId="7898C201" w14:textId="77777777" w:rsidTr="008C77A6">
        <w:trPr>
          <w:trHeight w:val="17"/>
        </w:trPr>
        <w:tc>
          <w:tcPr>
            <w:tcW w:w="5529" w:type="dxa"/>
            <w:tcBorders>
              <w:top w:val="nil"/>
              <w:left w:val="nil"/>
              <w:bottom w:val="nil"/>
              <w:right w:val="nil"/>
            </w:tcBorders>
            <w:shd w:val="clear" w:color="auto" w:fill="auto"/>
            <w:vAlign w:val="center"/>
            <w:hideMark/>
          </w:tcPr>
          <w:p w14:paraId="4C1C776E" w14:textId="77777777" w:rsidR="00FC6C09" w:rsidRPr="005732FC" w:rsidRDefault="00FC6C09" w:rsidP="00FC6C09">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BBVA BANCOMER 0113823598 (Deuda Pública.)</w:t>
            </w:r>
          </w:p>
        </w:tc>
        <w:tc>
          <w:tcPr>
            <w:tcW w:w="2126" w:type="dxa"/>
            <w:tcBorders>
              <w:top w:val="nil"/>
              <w:left w:val="nil"/>
              <w:bottom w:val="nil"/>
              <w:right w:val="nil"/>
            </w:tcBorders>
            <w:shd w:val="clear" w:color="auto" w:fill="auto"/>
            <w:noWrap/>
            <w:vAlign w:val="center"/>
            <w:hideMark/>
          </w:tcPr>
          <w:p w14:paraId="7B1E8256"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47,638,541.36</w:t>
            </w:r>
          </w:p>
        </w:tc>
        <w:tc>
          <w:tcPr>
            <w:tcW w:w="2268" w:type="dxa"/>
            <w:tcBorders>
              <w:top w:val="nil"/>
              <w:left w:val="nil"/>
              <w:bottom w:val="nil"/>
              <w:right w:val="nil"/>
            </w:tcBorders>
            <w:shd w:val="clear" w:color="auto" w:fill="auto"/>
            <w:noWrap/>
            <w:vAlign w:val="center"/>
            <w:hideMark/>
          </w:tcPr>
          <w:p w14:paraId="5C7B131A"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8.36</w:t>
            </w:r>
          </w:p>
        </w:tc>
      </w:tr>
      <w:tr w:rsidR="00FC6C09" w:rsidRPr="005732FC" w14:paraId="59F2B5D3" w14:textId="77777777" w:rsidTr="008C77A6">
        <w:trPr>
          <w:trHeight w:val="17"/>
        </w:trPr>
        <w:tc>
          <w:tcPr>
            <w:tcW w:w="5529" w:type="dxa"/>
            <w:tcBorders>
              <w:top w:val="nil"/>
              <w:left w:val="nil"/>
              <w:bottom w:val="single" w:sz="8" w:space="0" w:color="auto"/>
              <w:right w:val="nil"/>
            </w:tcBorders>
            <w:shd w:val="clear" w:color="auto" w:fill="auto"/>
            <w:vAlign w:val="center"/>
            <w:hideMark/>
          </w:tcPr>
          <w:p w14:paraId="1757A058" w14:textId="77777777" w:rsidR="00FC6C09" w:rsidRPr="005732FC" w:rsidRDefault="00FC6C09" w:rsidP="00FC6C09">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N0. 2001830 Santander Serfin 655028376019 num-2001 (Deuda pública)</w:t>
            </w:r>
          </w:p>
        </w:tc>
        <w:tc>
          <w:tcPr>
            <w:tcW w:w="2126" w:type="dxa"/>
            <w:tcBorders>
              <w:top w:val="nil"/>
              <w:left w:val="nil"/>
              <w:bottom w:val="single" w:sz="8" w:space="0" w:color="auto"/>
              <w:right w:val="nil"/>
            </w:tcBorders>
            <w:shd w:val="clear" w:color="auto" w:fill="auto"/>
            <w:noWrap/>
            <w:vAlign w:val="center"/>
            <w:hideMark/>
          </w:tcPr>
          <w:p w14:paraId="17AF0CBD"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36,701,038.03</w:t>
            </w:r>
          </w:p>
        </w:tc>
        <w:tc>
          <w:tcPr>
            <w:tcW w:w="2268" w:type="dxa"/>
            <w:tcBorders>
              <w:top w:val="nil"/>
              <w:left w:val="nil"/>
              <w:bottom w:val="single" w:sz="8" w:space="0" w:color="auto"/>
              <w:right w:val="nil"/>
            </w:tcBorders>
            <w:shd w:val="clear" w:color="auto" w:fill="auto"/>
            <w:noWrap/>
            <w:vAlign w:val="center"/>
            <w:hideMark/>
          </w:tcPr>
          <w:p w14:paraId="31886E0D" w14:textId="77777777" w:rsidR="00FC6C09" w:rsidRPr="005732FC" w:rsidRDefault="00FC6C09" w:rsidP="00FC6C09">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19,219,735.78</w:t>
            </w:r>
          </w:p>
        </w:tc>
      </w:tr>
      <w:tr w:rsidR="00FC6C09" w:rsidRPr="005732FC" w14:paraId="6EFE11AE" w14:textId="77777777" w:rsidTr="008C77A6">
        <w:trPr>
          <w:trHeight w:val="17"/>
        </w:trPr>
        <w:tc>
          <w:tcPr>
            <w:tcW w:w="5529" w:type="dxa"/>
            <w:tcBorders>
              <w:top w:val="nil"/>
              <w:left w:val="nil"/>
              <w:bottom w:val="single" w:sz="8" w:space="0" w:color="auto"/>
              <w:right w:val="nil"/>
            </w:tcBorders>
            <w:shd w:val="clear" w:color="000000" w:fill="D9D9D9"/>
            <w:noWrap/>
            <w:vAlign w:val="center"/>
            <w:hideMark/>
          </w:tcPr>
          <w:p w14:paraId="4F3635F8" w14:textId="77777777" w:rsidR="00FC6C09" w:rsidRPr="005732FC" w:rsidRDefault="00FC6C09" w:rsidP="00FC6C09">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2126" w:type="dxa"/>
            <w:tcBorders>
              <w:top w:val="nil"/>
              <w:left w:val="nil"/>
              <w:bottom w:val="single" w:sz="8" w:space="0" w:color="auto"/>
              <w:right w:val="nil"/>
            </w:tcBorders>
            <w:shd w:val="clear" w:color="000000" w:fill="D9D9D9"/>
            <w:noWrap/>
            <w:vAlign w:val="center"/>
            <w:hideMark/>
          </w:tcPr>
          <w:p w14:paraId="6DC14E85" w14:textId="77777777" w:rsidR="00FC6C09" w:rsidRPr="005732FC" w:rsidRDefault="00FC6C09" w:rsidP="00FC6C09">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479,470,486.56</w:t>
            </w:r>
          </w:p>
        </w:tc>
        <w:tc>
          <w:tcPr>
            <w:tcW w:w="2268" w:type="dxa"/>
            <w:tcBorders>
              <w:top w:val="nil"/>
              <w:left w:val="nil"/>
              <w:bottom w:val="single" w:sz="8" w:space="0" w:color="auto"/>
              <w:right w:val="nil"/>
            </w:tcBorders>
            <w:shd w:val="clear" w:color="000000" w:fill="D9D9D9"/>
            <w:noWrap/>
            <w:vAlign w:val="center"/>
            <w:hideMark/>
          </w:tcPr>
          <w:p w14:paraId="2BEE45F2" w14:textId="77777777" w:rsidR="00FC6C09" w:rsidRPr="005732FC" w:rsidRDefault="00FC6C09" w:rsidP="00FC6C09">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418,278,732.42</w:t>
            </w:r>
          </w:p>
        </w:tc>
      </w:tr>
    </w:tbl>
    <w:p w14:paraId="23F925F7" w14:textId="77777777" w:rsidR="00FC6C09" w:rsidRPr="005732FC" w:rsidRDefault="00FC6C09" w:rsidP="00FC6C09">
      <w:pPr>
        <w:spacing w:after="0"/>
        <w:jc w:val="both"/>
        <w:rPr>
          <w:rFonts w:ascii="Arial" w:hAnsi="Arial" w:cs="Arial"/>
          <w:sz w:val="20"/>
          <w:szCs w:val="20"/>
        </w:rPr>
      </w:pPr>
    </w:p>
    <w:p w14:paraId="283241FC" w14:textId="77777777" w:rsidR="00FC6C09" w:rsidRPr="005732FC" w:rsidRDefault="00FC6C09" w:rsidP="00FC6C09">
      <w:pPr>
        <w:spacing w:after="0"/>
        <w:jc w:val="both"/>
        <w:rPr>
          <w:rFonts w:ascii="Arial" w:hAnsi="Arial" w:cs="Arial"/>
          <w:sz w:val="20"/>
          <w:szCs w:val="20"/>
        </w:rPr>
      </w:pPr>
      <w:bookmarkStart w:id="0" w:name="_Hlk165398936"/>
      <w:r w:rsidRPr="005732FC">
        <w:rPr>
          <w:rFonts w:ascii="Arial" w:hAnsi="Arial" w:cs="Arial"/>
          <w:sz w:val="20"/>
          <w:szCs w:val="20"/>
        </w:rPr>
        <w:t>Fideicomiso F/2001830 de Banco Santander, S. A., creado para realizar el pago de tres créditos de la Deuda Pública que el Municipio de Benito Juárez (Fideicomitente) celebró con BANOBRAS, los cuales ya fueron liquidados y que actualmente sirve como medio para la transferencia de los recursos de Participaciones al Fideicomiso F/2004041.</w:t>
      </w:r>
    </w:p>
    <w:p w14:paraId="2B1A1E70" w14:textId="77777777" w:rsidR="00FC6C09" w:rsidRPr="005732FC" w:rsidRDefault="00FC6C09" w:rsidP="00FC6C09">
      <w:pPr>
        <w:spacing w:after="0"/>
        <w:jc w:val="both"/>
        <w:rPr>
          <w:rFonts w:ascii="Arial" w:hAnsi="Arial" w:cs="Arial"/>
          <w:sz w:val="20"/>
          <w:szCs w:val="20"/>
        </w:rPr>
      </w:pPr>
    </w:p>
    <w:p w14:paraId="240E89E1" w14:textId="77777777" w:rsidR="00FC6C09" w:rsidRPr="005732FC" w:rsidRDefault="00FC6C09" w:rsidP="00FC6C09">
      <w:pPr>
        <w:spacing w:after="0"/>
        <w:jc w:val="both"/>
        <w:rPr>
          <w:rFonts w:ascii="Arial" w:hAnsi="Arial" w:cs="Arial"/>
          <w:sz w:val="20"/>
          <w:szCs w:val="20"/>
        </w:rPr>
      </w:pPr>
      <w:r w:rsidRPr="005732FC">
        <w:rPr>
          <w:rFonts w:ascii="Arial" w:hAnsi="Arial" w:cs="Arial"/>
          <w:sz w:val="20"/>
          <w:szCs w:val="20"/>
        </w:rPr>
        <w:t>Fideicomiso F/410695-1 de BBVA Bancomer, S. A., fue creado mediante acuerdo 18-21/075 emitido en la novena sesión ordinaria del Ayuntamiento del Municipio de Benito Juárez (Fideicomitente y Fideicomisario en Primer Lugar), del Estado de Quintana Roo, de fecha 24 de enero de 2019, en su quinto punto del orden del día. La finalidad es administrar el total de los recursos públicos provenientes del pago del derecho de saneamiento ambiental.</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CCC3263" w14:textId="77777777" w:rsidR="00FC6C09" w:rsidRPr="005732FC" w:rsidRDefault="00FC6C09" w:rsidP="00FC6C09">
      <w:pPr>
        <w:spacing w:after="0"/>
        <w:jc w:val="both"/>
        <w:rPr>
          <w:rFonts w:ascii="Arial" w:hAnsi="Arial" w:cs="Arial"/>
          <w:sz w:val="20"/>
          <w:szCs w:val="20"/>
        </w:rPr>
      </w:pPr>
      <w:r w:rsidRPr="005732FC">
        <w:rPr>
          <w:rFonts w:ascii="Arial" w:hAnsi="Arial" w:cs="Arial"/>
          <w:sz w:val="20"/>
          <w:szCs w:val="20"/>
        </w:rPr>
        <w:t xml:space="preserve">En el Fideicomiso 410695-1 de la Cuenta Bancaria BBVA Bancomer S.A 0112955911 de Saneamiento Ambiental, se presentan depósitos pendientes de registros al 30 de junio del 2025 por la cantidad de $ </w:t>
      </w:r>
      <w:bookmarkStart w:id="1" w:name="_Hlk175582465"/>
      <w:r w:rsidRPr="005732FC">
        <w:rPr>
          <w:rFonts w:ascii="Arial" w:hAnsi="Arial" w:cs="Arial"/>
          <w:sz w:val="20"/>
          <w:szCs w:val="20"/>
        </w:rPr>
        <w:t xml:space="preserve">510,041.00 </w:t>
      </w:r>
      <w:bookmarkEnd w:id="1"/>
      <w:r w:rsidRPr="005732FC">
        <w:rPr>
          <w:rFonts w:ascii="Arial" w:hAnsi="Arial" w:cs="Arial"/>
          <w:sz w:val="20"/>
          <w:szCs w:val="20"/>
        </w:rPr>
        <w:t xml:space="preserve">derivado del desfase entre el momento en el que los contribuyentes depositan y el momento en el que asisten a las oficinas municipales a </w:t>
      </w:r>
      <w:r w:rsidRPr="005732FC">
        <w:rPr>
          <w:rFonts w:ascii="Arial" w:hAnsi="Arial" w:cs="Arial"/>
          <w:sz w:val="20"/>
          <w:szCs w:val="20"/>
        </w:rPr>
        <w:lastRenderedPageBreak/>
        <w:t>solicitar su recibo, por lo que regularmente se registran contablemente en el mes siguiente en el que se depositan.</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bookmarkEnd w:id="0"/>
    <w:p w14:paraId="6F456E20" w14:textId="77777777" w:rsidR="00461284" w:rsidRPr="005732FC" w:rsidRDefault="00461284" w:rsidP="00461284">
      <w:pPr>
        <w:spacing w:after="0"/>
        <w:jc w:val="both"/>
        <w:rPr>
          <w:rFonts w:ascii="Arial" w:hAnsi="Arial" w:cs="Arial"/>
          <w:sz w:val="20"/>
          <w:szCs w:val="20"/>
        </w:rPr>
      </w:pPr>
      <w:r w:rsidRPr="005732FC">
        <w:rPr>
          <w:rFonts w:ascii="Arial" w:hAnsi="Arial" w:cs="Arial"/>
          <w:sz w:val="20"/>
          <w:szCs w:val="20"/>
        </w:rPr>
        <w:t xml:space="preserve">El Fideicomiso F/750179 de Banco Mercantil Del Norte, S.A., Institución De Banca Múltiple, Grupo Financiero Banorte, fue creado el 4 de mayo de 2020, como un Fideicomiso de administración y pago de las obligaciones contenidas en el Contrato de Concesión del Servicio Público de limpia, en su etapa de recolección y transporte de residuos sólidos en el Municipio de Benito Juárez, Quintana Roo, por un periodo de 20 años.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59EC0ED" w14:textId="77777777" w:rsidR="00461284" w:rsidRPr="005732FC" w:rsidRDefault="00461284" w:rsidP="00461284">
      <w:pPr>
        <w:spacing w:after="0"/>
        <w:jc w:val="both"/>
        <w:rPr>
          <w:rFonts w:ascii="Arial" w:hAnsi="Arial" w:cs="Arial"/>
          <w:sz w:val="20"/>
          <w:szCs w:val="20"/>
        </w:rPr>
      </w:pPr>
    </w:p>
    <w:p w14:paraId="5CCF3A8E" w14:textId="465C3550" w:rsidR="00FC6C09" w:rsidRPr="005732FC" w:rsidRDefault="00461284" w:rsidP="00461284">
      <w:pPr>
        <w:spacing w:after="0"/>
        <w:jc w:val="both"/>
        <w:rPr>
          <w:rFonts w:ascii="Arial" w:hAnsi="Arial" w:cs="Arial"/>
          <w:sz w:val="20"/>
          <w:szCs w:val="20"/>
        </w:rPr>
      </w:pPr>
      <w:r w:rsidRPr="005732FC">
        <w:rPr>
          <w:rFonts w:ascii="Arial" w:hAnsi="Arial" w:cs="Arial"/>
          <w:sz w:val="20"/>
          <w:szCs w:val="20"/>
        </w:rPr>
        <w:t xml:space="preserve">El Fideicomiso F/750179 mencionado en el párrafo anterior, está sujeto a revisión según el acta de cabildo que Corresponde a la 20ª Sesión Extraordinaria Privada 2018-2021 según el punto de acuerdo SEGUNDO/ SÉPTIMO que a la letra dice.- “Con fundamento en los Artículos 6 Fracciones V, VI, 240, 248, 295 del Bando de Gobierno y Policía del Municipio de Benito Juárez, Quintana Roo y Artículos 5 Fracciones III, IV, 8 Fracciones IV, V, VI, VII, IX, 9 Fracciones II, III, 56, 57 del Reglamento para la Prevención y Gestión Integral de Residuos Sólidos en el Municipio de Benito Juárez, Quintana Roo y 182 Fracción II de la Ley de los Municipios del Estado de Quintana Roo, se ordena a SIRESOL Cancún y la Dirección General de Servicios Públicos Municipales, la inspección y auditoría a la concesionaria </w:t>
      </w:r>
      <w:proofErr w:type="spellStart"/>
      <w:r w:rsidRPr="005732FC">
        <w:rPr>
          <w:rFonts w:ascii="Arial" w:hAnsi="Arial" w:cs="Arial"/>
          <w:sz w:val="20"/>
          <w:szCs w:val="20"/>
        </w:rPr>
        <w:t>Intelligencia</w:t>
      </w:r>
      <w:proofErr w:type="spellEnd"/>
      <w:r w:rsidRPr="005732FC">
        <w:rPr>
          <w:rFonts w:ascii="Arial" w:hAnsi="Arial" w:cs="Arial"/>
          <w:sz w:val="20"/>
          <w:szCs w:val="20"/>
        </w:rPr>
        <w:t xml:space="preserve"> México, S.A. de C.V. respetando el procedimiento previsto en la normatividad aplicable”.</w:t>
      </w:r>
      <w:r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r w:rsidR="00FC6C09" w:rsidRPr="005732FC">
        <w:rPr>
          <w:rFonts w:ascii="Arial" w:hAnsi="Arial" w:cs="Arial"/>
          <w:sz w:val="20"/>
          <w:szCs w:val="20"/>
        </w:rPr>
        <w:tab/>
      </w:r>
    </w:p>
    <w:p w14:paraId="15063261" w14:textId="77777777" w:rsidR="00FC6C09" w:rsidRPr="005732FC" w:rsidRDefault="00FC6C09" w:rsidP="00FC6C09">
      <w:pPr>
        <w:spacing w:after="0"/>
        <w:jc w:val="both"/>
        <w:rPr>
          <w:rFonts w:ascii="Arial" w:hAnsi="Arial" w:cs="Arial"/>
          <w:sz w:val="20"/>
          <w:szCs w:val="20"/>
        </w:rPr>
      </w:pPr>
      <w:bookmarkStart w:id="2" w:name="_Hlk165398963"/>
      <w:r w:rsidRPr="005732FC">
        <w:rPr>
          <w:rFonts w:ascii="Arial" w:hAnsi="Arial" w:cs="Arial"/>
          <w:sz w:val="20"/>
          <w:szCs w:val="20"/>
        </w:rPr>
        <w:t>Fideicomiso F/2004041 de Banco Santander (México), S. A., creado como garantía y fuente de pago de las obligaciones contenidas en el Contrato de Concesión para la Prestación del Servicio de Alumbrado por un plazo de 15 años, según lo establecido en las cláusulas del Contrato de Fideicomiso Irrevocable de Administración y Medio de Pago Número 2004041–0 firmado con fecha 06 de abril de 2018, en donde el Municipio de Benito Juárez es Fideicomitente y Fideicomisario en Segundo Lugar.</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9C77015" w14:textId="77777777" w:rsidR="00FC6C09" w:rsidRPr="005732FC" w:rsidRDefault="00FC6C09" w:rsidP="00FC6C09">
      <w:pPr>
        <w:spacing w:after="0"/>
        <w:jc w:val="both"/>
        <w:rPr>
          <w:rFonts w:ascii="Arial" w:hAnsi="Arial" w:cs="Arial"/>
          <w:sz w:val="20"/>
          <w:szCs w:val="20"/>
        </w:rPr>
      </w:pPr>
    </w:p>
    <w:bookmarkEnd w:id="2"/>
    <w:p w14:paraId="63239BFC" w14:textId="77777777" w:rsidR="00FC6C09" w:rsidRPr="005732FC" w:rsidRDefault="00FC6C09" w:rsidP="00FC6C09">
      <w:pPr>
        <w:spacing w:after="0"/>
        <w:jc w:val="both"/>
        <w:rPr>
          <w:rFonts w:ascii="Arial" w:hAnsi="Arial" w:cs="Arial"/>
          <w:sz w:val="20"/>
          <w:szCs w:val="20"/>
        </w:rPr>
      </w:pPr>
      <w:r w:rsidRPr="005732FC">
        <w:rPr>
          <w:rFonts w:ascii="Arial" w:hAnsi="Arial" w:cs="Arial"/>
          <w:sz w:val="20"/>
          <w:szCs w:val="20"/>
        </w:rPr>
        <w:t>Fideicomiso F/4109047 de BBVA Bancomer S. A. (Fiduciario), de la cuenta bancaria BBVA Bancomer SA 0113823598, creado para realizar el pago de la Deuda Pública que el Municipio de Benito Juárez (Fideicomitente o Acreditante) tiene con las instituciones de crédito BBVA Bancomer, S. A. (Fideicomisario en Primer Lugar) y Banco Azteca, S. A. (Fideicomisario en Primer Lugar) correspondientes a los créditos 9884444367 y 960500528 respectivamente, y en el que se mantienen dos fondos reserva que deberán contar con recursos en todo momento durante la vigencia de los créditos equivalentes a cuando menos el pago de 2 (DOS) meses del servicio de la deuda, incluida la amortización del capital y los intereses sobre el saldo insoluto, según lo establecen las cláusulas del contrato de deuda pública.</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75390C9" w14:textId="76520746" w:rsidR="00BA3347" w:rsidRPr="005732FC" w:rsidRDefault="00FC6C09" w:rsidP="007D3ECA">
      <w:pPr>
        <w:spacing w:after="0"/>
        <w:jc w:val="both"/>
        <w:rPr>
          <w:rFonts w:ascii="Arial" w:hAnsi="Arial" w:cs="Arial"/>
          <w:sz w:val="20"/>
          <w:szCs w:val="20"/>
        </w:rPr>
      </w:pPr>
      <w:r w:rsidRPr="005732FC">
        <w:rPr>
          <w:rFonts w:ascii="Arial" w:hAnsi="Arial" w:cs="Arial"/>
          <w:sz w:val="20"/>
          <w:szCs w:val="20"/>
        </w:rPr>
        <w:t>Fideicomiso F/4124053 de BBVA México, S. A., fue creado mediante acuerdo 18-21/075 emitido en el séptimo punto del orden de los días de la sexagésima novena sesión ordinaria del Ayuntamiento del Municipio de Benito Juárez (Fideicomitente y Fideicomisario en Primer Lugar), del Estado de Quintana Roo, de fecha 15 de julio de 2021. La finalidad es administrar e invertir los recursos derivados del 4% de los recursos públicos provenientes del pago del derecho de saneamiento ambiental, que serán destinados al Apoyo Adicional al Retiro del Personal Policiaco.</w:t>
      </w:r>
      <w:r w:rsidR="00393709" w:rsidRPr="005732FC">
        <w:rPr>
          <w:rFonts w:ascii="Arial" w:hAnsi="Arial" w:cs="Arial"/>
          <w:sz w:val="20"/>
          <w:szCs w:val="20"/>
        </w:rPr>
        <w:tab/>
      </w:r>
      <w:r w:rsidR="00710126" w:rsidRPr="005732FC">
        <w:rPr>
          <w:rFonts w:ascii="Arial" w:hAnsi="Arial" w:cs="Arial"/>
          <w:sz w:val="20"/>
          <w:szCs w:val="20"/>
        </w:rPr>
        <w:tab/>
      </w:r>
      <w:r w:rsidR="00BA3347" w:rsidRPr="005732FC">
        <w:rPr>
          <w:rFonts w:ascii="Arial" w:hAnsi="Arial" w:cs="Arial"/>
          <w:sz w:val="20"/>
          <w:szCs w:val="20"/>
        </w:rPr>
        <w:tab/>
      </w:r>
    </w:p>
    <w:p w14:paraId="4B8894A8" w14:textId="77777777" w:rsidR="00A45A40" w:rsidRPr="005732FC" w:rsidRDefault="00A45A40" w:rsidP="00A45A40">
      <w:pPr>
        <w:keepNext/>
        <w:keepLines/>
        <w:numPr>
          <w:ilvl w:val="0"/>
          <w:numId w:val="6"/>
        </w:numPr>
        <w:spacing w:before="240" w:after="0"/>
        <w:ind w:left="0" w:hanging="284"/>
        <w:outlineLvl w:val="0"/>
        <w:rPr>
          <w:rFonts w:ascii="Arial" w:eastAsiaTheme="majorEastAsia" w:hAnsi="Arial" w:cs="Arial"/>
          <w:b/>
          <w:bCs/>
          <w:color w:val="2F5496" w:themeColor="accent1" w:themeShade="BF"/>
          <w:sz w:val="20"/>
          <w:szCs w:val="20"/>
        </w:rPr>
      </w:pPr>
      <w:r w:rsidRPr="005732FC">
        <w:rPr>
          <w:rFonts w:ascii="Arial" w:eastAsiaTheme="majorEastAsia" w:hAnsi="Arial" w:cs="Arial"/>
          <w:b/>
          <w:bCs/>
          <w:sz w:val="20"/>
          <w:szCs w:val="20"/>
        </w:rPr>
        <w:t>Reporte de Recaudación</w:t>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51BBD609" w14:textId="77777777" w:rsidR="00A45A40" w:rsidRPr="005732FC" w:rsidRDefault="00A45A40" w:rsidP="00A45A40">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E0EEB6A" w14:textId="77777777" w:rsidR="00A45A40" w:rsidRPr="005732FC" w:rsidRDefault="00A45A40" w:rsidP="00A45A40">
      <w:pPr>
        <w:keepNext/>
        <w:keepLines/>
        <w:numPr>
          <w:ilvl w:val="0"/>
          <w:numId w:val="38"/>
        </w:numPr>
        <w:spacing w:before="40" w:after="0"/>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color w:val="2F5496" w:themeColor="accent1" w:themeShade="BF"/>
          <w:sz w:val="20"/>
          <w:szCs w:val="20"/>
        </w:rPr>
        <w:t>Comportamiento de la recaudación.</w:t>
      </w:r>
    </w:p>
    <w:p w14:paraId="0D6A1AAD" w14:textId="77777777" w:rsidR="00A45A40" w:rsidRPr="005732FC" w:rsidRDefault="00A45A40" w:rsidP="00A45A40">
      <w:pPr>
        <w:spacing w:after="0"/>
        <w:jc w:val="both"/>
        <w:rPr>
          <w:rFonts w:ascii="Arial" w:hAnsi="Arial" w:cs="Arial"/>
          <w:sz w:val="20"/>
          <w:szCs w:val="20"/>
        </w:rPr>
      </w:pPr>
    </w:p>
    <w:p w14:paraId="3A8E182B" w14:textId="77777777" w:rsidR="00A45A40" w:rsidRPr="005732FC" w:rsidRDefault="00A45A40" w:rsidP="00A45A40">
      <w:pPr>
        <w:spacing w:after="0"/>
        <w:jc w:val="both"/>
        <w:rPr>
          <w:rFonts w:ascii="Arial" w:hAnsi="Arial" w:cs="Arial"/>
          <w:sz w:val="20"/>
          <w:szCs w:val="20"/>
        </w:rPr>
      </w:pPr>
      <w:r w:rsidRPr="005732FC">
        <w:rPr>
          <w:rFonts w:ascii="Arial" w:hAnsi="Arial" w:cs="Arial"/>
          <w:sz w:val="20"/>
          <w:szCs w:val="20"/>
        </w:rPr>
        <w:t>De conformidad con lo establecido en la Ley de los Municipios del Estados de Quintana Roo, la Hacienda Municipal estará formada por los ingresos ordinarios y extraordinarios que en su favor apruebe el Congreso del Estado y demás ordenamientos fiscales aplicables.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84201BC" w14:textId="77777777" w:rsidR="00A45A40" w:rsidRPr="005732FC" w:rsidRDefault="00A45A40" w:rsidP="00A45A40">
      <w:pPr>
        <w:spacing w:after="0"/>
        <w:jc w:val="both"/>
        <w:rPr>
          <w:rFonts w:ascii="Arial" w:hAnsi="Arial" w:cs="Arial"/>
          <w:sz w:val="20"/>
          <w:szCs w:val="20"/>
        </w:rPr>
      </w:pPr>
    </w:p>
    <w:p w14:paraId="17497A84" w14:textId="77777777" w:rsidR="00A45A40" w:rsidRPr="005732FC" w:rsidRDefault="00A45A40" w:rsidP="00A45A40">
      <w:pPr>
        <w:spacing w:after="0"/>
        <w:jc w:val="both"/>
        <w:rPr>
          <w:rFonts w:ascii="Arial" w:hAnsi="Arial" w:cs="Arial"/>
          <w:sz w:val="20"/>
          <w:szCs w:val="20"/>
        </w:rPr>
      </w:pPr>
      <w:r w:rsidRPr="005732FC">
        <w:rPr>
          <w:rFonts w:ascii="Arial" w:hAnsi="Arial" w:cs="Arial"/>
          <w:sz w:val="20"/>
          <w:szCs w:val="20"/>
        </w:rPr>
        <w:t>Son Ingresos ordinarios los siguientes: Los impuestos, los derechos, los productos, los aprovechamientos, las participaciones, y las aportaciones.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8EDDF1C" w14:textId="77777777" w:rsidR="00A45A40" w:rsidRPr="005732FC" w:rsidRDefault="00A45A40" w:rsidP="00A45A40">
      <w:pPr>
        <w:spacing w:after="0"/>
        <w:jc w:val="both"/>
        <w:rPr>
          <w:rFonts w:ascii="Arial" w:hAnsi="Arial" w:cs="Arial"/>
          <w:sz w:val="20"/>
          <w:szCs w:val="20"/>
        </w:rPr>
      </w:pPr>
    </w:p>
    <w:p w14:paraId="5895281C" w14:textId="425B916B" w:rsidR="00A45A40" w:rsidRPr="005732FC" w:rsidRDefault="00A45A40" w:rsidP="00A45A40">
      <w:pPr>
        <w:spacing w:after="0"/>
        <w:jc w:val="both"/>
        <w:rPr>
          <w:rFonts w:ascii="Arial" w:hAnsi="Arial" w:cs="Arial"/>
          <w:sz w:val="20"/>
          <w:szCs w:val="20"/>
        </w:rPr>
      </w:pPr>
      <w:r w:rsidRPr="005732FC">
        <w:rPr>
          <w:rFonts w:ascii="Arial" w:hAnsi="Arial" w:cs="Arial"/>
          <w:sz w:val="20"/>
          <w:szCs w:val="20"/>
        </w:rPr>
        <w:t xml:space="preserve">Son Ingresos extraordinarios los siguientes: Los que autorice el Cabildo, en los términos de su </w:t>
      </w:r>
      <w:r w:rsidR="00A973D5">
        <w:rPr>
          <w:rFonts w:ascii="Arial" w:hAnsi="Arial" w:cs="Arial"/>
          <w:sz w:val="20"/>
          <w:szCs w:val="20"/>
        </w:rPr>
        <w:t>c</w:t>
      </w:r>
      <w:r w:rsidRPr="005732FC">
        <w:rPr>
          <w:rFonts w:ascii="Arial" w:hAnsi="Arial" w:cs="Arial"/>
          <w:sz w:val="20"/>
          <w:szCs w:val="20"/>
        </w:rPr>
        <w:t>ompetencia y de conformidad a las leyes fiscales, incluyendo los financiamientos.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D30AC96" w14:textId="77777777" w:rsidR="00A45A40" w:rsidRPr="005732FC" w:rsidRDefault="00A45A40" w:rsidP="00A45A40">
      <w:pPr>
        <w:spacing w:after="0"/>
        <w:jc w:val="both"/>
        <w:rPr>
          <w:rFonts w:ascii="Arial" w:hAnsi="Arial" w:cs="Arial"/>
          <w:sz w:val="20"/>
          <w:szCs w:val="20"/>
        </w:rPr>
      </w:pPr>
      <w:r w:rsidRPr="005732FC">
        <w:rPr>
          <w:rFonts w:ascii="Arial" w:hAnsi="Arial" w:cs="Arial"/>
          <w:sz w:val="20"/>
          <w:szCs w:val="20"/>
        </w:rPr>
        <w:lastRenderedPageBreak/>
        <w:t>Los que autoricen el Congreso del Estado, y los que se reciban del Estado o la Federación por conceptos diferentes a las Participaciones y Aportaciones.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F59DE57" w14:textId="77777777" w:rsidR="00A45A40" w:rsidRPr="005732FC" w:rsidRDefault="00A45A40" w:rsidP="00A45A40">
      <w:pPr>
        <w:spacing w:after="0"/>
        <w:jc w:val="both"/>
        <w:rPr>
          <w:rFonts w:ascii="Arial" w:hAnsi="Arial" w:cs="Arial"/>
          <w:sz w:val="20"/>
          <w:szCs w:val="20"/>
        </w:rPr>
      </w:pPr>
    </w:p>
    <w:p w14:paraId="35B3A685" w14:textId="77777777" w:rsidR="00A45A40" w:rsidRPr="005732FC" w:rsidRDefault="00A45A40" w:rsidP="00A45A40">
      <w:pPr>
        <w:spacing w:after="0"/>
        <w:jc w:val="both"/>
        <w:rPr>
          <w:rFonts w:ascii="Arial" w:hAnsi="Arial" w:cs="Arial"/>
          <w:sz w:val="20"/>
          <w:szCs w:val="20"/>
        </w:rPr>
      </w:pPr>
      <w:r w:rsidRPr="005732FC">
        <w:rPr>
          <w:rFonts w:ascii="Arial" w:hAnsi="Arial" w:cs="Arial"/>
          <w:sz w:val="20"/>
          <w:szCs w:val="20"/>
        </w:rPr>
        <w:t>Las participaciones federales se rigen a través del convenio de Adhesión al Sistema Nacional de Coordinación Fiscal, de Ley Coordinación Fiscal Federal y Ley de Coordinación Fiscal del Estado de Quintana Roo. Conforme a lo anterior, el Ayuntamiento recibe las participaciones federales a través del Gobierno del Estado de Quintana Roo.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807F9FB" w14:textId="77777777" w:rsidR="00A45A40" w:rsidRPr="005732FC" w:rsidRDefault="00A45A40" w:rsidP="00A45A40">
      <w:pPr>
        <w:spacing w:after="0"/>
        <w:jc w:val="both"/>
        <w:rPr>
          <w:rFonts w:ascii="Arial" w:hAnsi="Arial" w:cs="Arial"/>
          <w:sz w:val="20"/>
          <w:szCs w:val="20"/>
        </w:rPr>
      </w:pPr>
      <w:r w:rsidRPr="005732FC">
        <w:rPr>
          <w:rFonts w:ascii="Arial" w:hAnsi="Arial" w:cs="Arial"/>
          <w:sz w:val="20"/>
          <w:szCs w:val="20"/>
        </w:rPr>
        <w:t>A continuación, se muestra el comparativo entre la Ley de ingresos aprobado por la Legislatura del Estado y lo efectivamente recaudado al 30 de junio del 2025:</w:t>
      </w:r>
    </w:p>
    <w:p w14:paraId="2558F8A9" w14:textId="77777777" w:rsidR="004E1B49" w:rsidRPr="005732FC" w:rsidRDefault="004E1B49" w:rsidP="004E1B49">
      <w:pPr>
        <w:spacing w:after="0"/>
        <w:jc w:val="both"/>
        <w:rPr>
          <w:rFonts w:ascii="Arial" w:hAnsi="Arial" w:cs="Arial"/>
          <w:sz w:val="20"/>
          <w:szCs w:val="20"/>
        </w:rPr>
      </w:pPr>
    </w:p>
    <w:tbl>
      <w:tblPr>
        <w:tblW w:w="5020" w:type="pct"/>
        <w:tblCellMar>
          <w:left w:w="70" w:type="dxa"/>
          <w:right w:w="70" w:type="dxa"/>
        </w:tblCellMar>
        <w:tblLook w:val="04A0" w:firstRow="1" w:lastRow="0" w:firstColumn="1" w:lastColumn="0" w:noHBand="0" w:noVBand="1"/>
      </w:tblPr>
      <w:tblGrid>
        <w:gridCol w:w="5909"/>
        <w:gridCol w:w="1698"/>
        <w:gridCol w:w="2030"/>
        <w:gridCol w:w="1206"/>
      </w:tblGrid>
      <w:tr w:rsidR="00FD7BCC" w:rsidRPr="005732FC" w14:paraId="6048958A" w14:textId="77777777" w:rsidTr="008C77A6">
        <w:trPr>
          <w:trHeight w:val="20"/>
        </w:trPr>
        <w:tc>
          <w:tcPr>
            <w:tcW w:w="2725" w:type="pct"/>
            <w:tcBorders>
              <w:top w:val="single" w:sz="8" w:space="0" w:color="auto"/>
              <w:left w:val="nil"/>
              <w:bottom w:val="single" w:sz="8" w:space="0" w:color="auto"/>
              <w:right w:val="nil"/>
            </w:tcBorders>
            <w:shd w:val="clear" w:color="auto" w:fill="D9D9D9" w:themeFill="background1" w:themeFillShade="D9"/>
            <w:vAlign w:val="center"/>
            <w:hideMark/>
          </w:tcPr>
          <w:p w14:paraId="24A3B245" w14:textId="77777777" w:rsidR="00FD7BCC" w:rsidRPr="005732FC" w:rsidRDefault="00FD7BCC" w:rsidP="008C77A6">
            <w:pPr>
              <w:pStyle w:val="Sinespaciado"/>
              <w:jc w:val="center"/>
              <w:rPr>
                <w:rFonts w:ascii="Arial" w:hAnsi="Arial" w:cs="Arial"/>
                <w:b/>
                <w:bCs/>
                <w:sz w:val="20"/>
                <w:szCs w:val="20"/>
                <w:lang w:eastAsia="es-MX"/>
              </w:rPr>
            </w:pPr>
            <w:r w:rsidRPr="005732FC">
              <w:rPr>
                <w:rFonts w:ascii="Arial" w:hAnsi="Arial" w:cs="Arial"/>
                <w:b/>
                <w:bCs/>
                <w:sz w:val="20"/>
                <w:szCs w:val="20"/>
                <w:lang w:eastAsia="es-MX"/>
              </w:rPr>
              <w:t>Ingresos Por Concepto</w:t>
            </w:r>
          </w:p>
        </w:tc>
        <w:tc>
          <w:tcPr>
            <w:tcW w:w="783" w:type="pct"/>
            <w:tcBorders>
              <w:top w:val="single" w:sz="8" w:space="0" w:color="auto"/>
              <w:left w:val="nil"/>
              <w:bottom w:val="single" w:sz="8" w:space="0" w:color="auto"/>
              <w:right w:val="nil"/>
            </w:tcBorders>
            <w:shd w:val="clear" w:color="auto" w:fill="D9D9D9" w:themeFill="background1" w:themeFillShade="D9"/>
            <w:noWrap/>
            <w:vAlign w:val="center"/>
            <w:hideMark/>
          </w:tcPr>
          <w:p w14:paraId="36FAD057" w14:textId="77777777" w:rsidR="00FD7BCC" w:rsidRPr="005732FC" w:rsidRDefault="00FD7BCC" w:rsidP="008C77A6">
            <w:pPr>
              <w:pStyle w:val="Sinespaciado"/>
              <w:jc w:val="center"/>
              <w:rPr>
                <w:rFonts w:ascii="Arial" w:hAnsi="Arial" w:cs="Arial"/>
                <w:b/>
                <w:bCs/>
                <w:sz w:val="20"/>
                <w:szCs w:val="20"/>
                <w:lang w:eastAsia="es-MX"/>
              </w:rPr>
            </w:pPr>
            <w:r w:rsidRPr="005732FC">
              <w:rPr>
                <w:rFonts w:ascii="Arial" w:hAnsi="Arial" w:cs="Arial"/>
                <w:b/>
                <w:bCs/>
                <w:sz w:val="20"/>
                <w:szCs w:val="20"/>
                <w:lang w:eastAsia="es-MX"/>
              </w:rPr>
              <w:t>Estimado</w:t>
            </w:r>
          </w:p>
        </w:tc>
        <w:tc>
          <w:tcPr>
            <w:tcW w:w="936" w:type="pct"/>
            <w:tcBorders>
              <w:top w:val="single" w:sz="8" w:space="0" w:color="auto"/>
              <w:left w:val="nil"/>
              <w:bottom w:val="single" w:sz="8" w:space="0" w:color="auto"/>
              <w:right w:val="nil"/>
            </w:tcBorders>
            <w:shd w:val="clear" w:color="auto" w:fill="D9D9D9" w:themeFill="background1" w:themeFillShade="D9"/>
            <w:noWrap/>
            <w:vAlign w:val="center"/>
            <w:hideMark/>
          </w:tcPr>
          <w:p w14:paraId="4F177A30" w14:textId="77777777" w:rsidR="00FD7BCC" w:rsidRPr="005732FC" w:rsidRDefault="00FD7BCC" w:rsidP="008C77A6">
            <w:pPr>
              <w:pStyle w:val="Sinespaciado"/>
              <w:jc w:val="center"/>
              <w:rPr>
                <w:rFonts w:ascii="Arial" w:hAnsi="Arial" w:cs="Arial"/>
                <w:b/>
                <w:bCs/>
                <w:sz w:val="20"/>
                <w:szCs w:val="20"/>
                <w:lang w:eastAsia="es-MX"/>
              </w:rPr>
            </w:pPr>
            <w:r w:rsidRPr="005732FC">
              <w:rPr>
                <w:rFonts w:ascii="Arial" w:hAnsi="Arial" w:cs="Arial"/>
                <w:b/>
                <w:bCs/>
                <w:sz w:val="20"/>
                <w:szCs w:val="20"/>
                <w:lang w:eastAsia="es-MX"/>
              </w:rPr>
              <w:t>Total 2025</w:t>
            </w:r>
          </w:p>
        </w:tc>
        <w:tc>
          <w:tcPr>
            <w:tcW w:w="556" w:type="pct"/>
            <w:tcBorders>
              <w:top w:val="single" w:sz="8" w:space="0" w:color="auto"/>
              <w:left w:val="nil"/>
              <w:bottom w:val="single" w:sz="8" w:space="0" w:color="auto"/>
              <w:right w:val="nil"/>
            </w:tcBorders>
            <w:shd w:val="clear" w:color="auto" w:fill="D9D9D9" w:themeFill="background1" w:themeFillShade="D9"/>
            <w:noWrap/>
            <w:vAlign w:val="center"/>
            <w:hideMark/>
          </w:tcPr>
          <w:p w14:paraId="52B76272" w14:textId="77777777" w:rsidR="00FD7BCC" w:rsidRPr="005732FC" w:rsidRDefault="00FD7BCC" w:rsidP="008C77A6">
            <w:pPr>
              <w:pStyle w:val="Sinespaciado"/>
              <w:jc w:val="center"/>
              <w:rPr>
                <w:rFonts w:ascii="Arial" w:hAnsi="Arial" w:cs="Arial"/>
                <w:b/>
                <w:bCs/>
                <w:sz w:val="20"/>
                <w:szCs w:val="20"/>
                <w:lang w:eastAsia="es-MX"/>
              </w:rPr>
            </w:pPr>
            <w:r w:rsidRPr="005732FC">
              <w:rPr>
                <w:rFonts w:ascii="Arial" w:hAnsi="Arial" w:cs="Arial"/>
                <w:b/>
                <w:bCs/>
                <w:sz w:val="20"/>
                <w:szCs w:val="20"/>
                <w:lang w:eastAsia="es-MX"/>
              </w:rPr>
              <w:t>%</w:t>
            </w:r>
          </w:p>
        </w:tc>
      </w:tr>
      <w:tr w:rsidR="00FD7BCC" w:rsidRPr="005732FC" w14:paraId="767D58EC" w14:textId="77777777" w:rsidTr="008C77A6">
        <w:trPr>
          <w:trHeight w:val="166"/>
        </w:trPr>
        <w:tc>
          <w:tcPr>
            <w:tcW w:w="2725" w:type="pct"/>
            <w:tcBorders>
              <w:top w:val="single" w:sz="8" w:space="0" w:color="auto"/>
              <w:left w:val="nil"/>
              <w:bottom w:val="nil"/>
              <w:right w:val="nil"/>
            </w:tcBorders>
            <w:vAlign w:val="center"/>
            <w:hideMark/>
          </w:tcPr>
          <w:p w14:paraId="5B9DBF13"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Ingresos</w:t>
            </w:r>
          </w:p>
        </w:tc>
        <w:tc>
          <w:tcPr>
            <w:tcW w:w="783" w:type="pct"/>
            <w:tcBorders>
              <w:top w:val="nil"/>
              <w:left w:val="nil"/>
              <w:bottom w:val="nil"/>
              <w:right w:val="nil"/>
            </w:tcBorders>
            <w:noWrap/>
            <w:vAlign w:val="center"/>
            <w:hideMark/>
          </w:tcPr>
          <w:p w14:paraId="4DB823FA" w14:textId="77777777" w:rsidR="00FD7BCC" w:rsidRPr="005732FC" w:rsidRDefault="00FD7BCC" w:rsidP="008C77A6">
            <w:pPr>
              <w:pStyle w:val="Sinespaciado"/>
              <w:jc w:val="right"/>
              <w:rPr>
                <w:rFonts w:ascii="Arial" w:hAnsi="Arial" w:cs="Arial"/>
                <w:b/>
                <w:bCs/>
                <w:sz w:val="20"/>
                <w:szCs w:val="20"/>
                <w:lang w:eastAsia="es-MX"/>
              </w:rPr>
            </w:pPr>
            <w:r w:rsidRPr="005732FC">
              <w:rPr>
                <w:rFonts w:ascii="Arial" w:hAnsi="Arial" w:cs="Arial"/>
                <w:b/>
                <w:bCs/>
                <w:sz w:val="20"/>
                <w:szCs w:val="20"/>
                <w:lang w:eastAsia="es-MX"/>
              </w:rPr>
              <w:t>7,636,379,688.00</w:t>
            </w:r>
          </w:p>
          <w:p w14:paraId="2C491320" w14:textId="77777777" w:rsidR="00FD7BCC" w:rsidRPr="005732FC" w:rsidRDefault="00FD7BCC" w:rsidP="008C77A6">
            <w:pPr>
              <w:pStyle w:val="Sinespaciado"/>
              <w:jc w:val="right"/>
              <w:rPr>
                <w:rFonts w:ascii="Arial" w:hAnsi="Arial" w:cs="Arial"/>
                <w:b/>
                <w:bCs/>
                <w:sz w:val="20"/>
                <w:szCs w:val="20"/>
                <w:lang w:eastAsia="es-MX"/>
              </w:rPr>
            </w:pPr>
          </w:p>
        </w:tc>
        <w:tc>
          <w:tcPr>
            <w:tcW w:w="936" w:type="pct"/>
            <w:tcBorders>
              <w:top w:val="nil"/>
              <w:left w:val="nil"/>
              <w:bottom w:val="nil"/>
              <w:right w:val="nil"/>
            </w:tcBorders>
            <w:noWrap/>
            <w:vAlign w:val="center"/>
            <w:hideMark/>
          </w:tcPr>
          <w:p w14:paraId="0A6F7C48"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4,503,951,434.53</w:t>
            </w:r>
          </w:p>
        </w:tc>
        <w:tc>
          <w:tcPr>
            <w:tcW w:w="556" w:type="pct"/>
            <w:tcBorders>
              <w:top w:val="nil"/>
              <w:left w:val="nil"/>
              <w:bottom w:val="nil"/>
              <w:right w:val="nil"/>
            </w:tcBorders>
            <w:noWrap/>
            <w:vAlign w:val="center"/>
            <w:hideMark/>
          </w:tcPr>
          <w:p w14:paraId="71FF9ED5"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59%</w:t>
            </w:r>
          </w:p>
        </w:tc>
      </w:tr>
      <w:tr w:rsidR="00FD7BCC" w:rsidRPr="005732FC" w14:paraId="1BBD9915" w14:textId="77777777" w:rsidTr="008C77A6">
        <w:trPr>
          <w:trHeight w:val="233"/>
        </w:trPr>
        <w:tc>
          <w:tcPr>
            <w:tcW w:w="2725" w:type="pct"/>
            <w:tcBorders>
              <w:top w:val="nil"/>
              <w:left w:val="nil"/>
              <w:bottom w:val="nil"/>
              <w:right w:val="nil"/>
            </w:tcBorders>
            <w:vAlign w:val="center"/>
            <w:hideMark/>
          </w:tcPr>
          <w:p w14:paraId="41C94634"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1.Impuestos</w:t>
            </w:r>
          </w:p>
        </w:tc>
        <w:tc>
          <w:tcPr>
            <w:tcW w:w="783" w:type="pct"/>
            <w:tcBorders>
              <w:top w:val="nil"/>
              <w:left w:val="nil"/>
              <w:bottom w:val="nil"/>
              <w:right w:val="nil"/>
            </w:tcBorders>
            <w:noWrap/>
            <w:vAlign w:val="center"/>
            <w:hideMark/>
          </w:tcPr>
          <w:p w14:paraId="61970517" w14:textId="77777777" w:rsidR="00FD7BCC" w:rsidRPr="005732FC" w:rsidRDefault="00FD7BCC" w:rsidP="008C77A6">
            <w:pPr>
              <w:pStyle w:val="Sinespaciado"/>
              <w:jc w:val="right"/>
              <w:rPr>
                <w:rFonts w:ascii="Arial" w:hAnsi="Arial" w:cs="Arial"/>
                <w:b/>
                <w:bCs/>
                <w:sz w:val="20"/>
                <w:szCs w:val="20"/>
                <w:lang w:eastAsia="es-MX"/>
              </w:rPr>
            </w:pPr>
            <w:r w:rsidRPr="005732FC">
              <w:rPr>
                <w:rFonts w:ascii="Arial" w:hAnsi="Arial" w:cs="Arial"/>
                <w:b/>
                <w:bCs/>
                <w:sz w:val="20"/>
                <w:szCs w:val="20"/>
                <w:lang w:eastAsia="es-MX"/>
              </w:rPr>
              <w:t>2,279,554,128.00</w:t>
            </w:r>
          </w:p>
          <w:p w14:paraId="79AB3924" w14:textId="77777777" w:rsidR="00FD7BCC" w:rsidRPr="005732FC" w:rsidRDefault="00FD7BCC" w:rsidP="008C77A6">
            <w:pPr>
              <w:pStyle w:val="Sinespaciado"/>
              <w:jc w:val="right"/>
              <w:rPr>
                <w:rFonts w:ascii="Arial" w:hAnsi="Arial" w:cs="Arial"/>
                <w:b/>
                <w:bCs/>
                <w:sz w:val="20"/>
                <w:szCs w:val="20"/>
                <w:lang w:eastAsia="es-MX"/>
              </w:rPr>
            </w:pPr>
          </w:p>
        </w:tc>
        <w:tc>
          <w:tcPr>
            <w:tcW w:w="936" w:type="pct"/>
            <w:tcBorders>
              <w:top w:val="nil"/>
              <w:left w:val="nil"/>
              <w:bottom w:val="nil"/>
              <w:right w:val="nil"/>
            </w:tcBorders>
            <w:noWrap/>
            <w:vAlign w:val="center"/>
            <w:hideMark/>
          </w:tcPr>
          <w:p w14:paraId="38BC0899"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1,478,102,908.34</w:t>
            </w:r>
          </w:p>
        </w:tc>
        <w:tc>
          <w:tcPr>
            <w:tcW w:w="556" w:type="pct"/>
            <w:tcBorders>
              <w:top w:val="nil"/>
              <w:left w:val="nil"/>
              <w:bottom w:val="nil"/>
              <w:right w:val="nil"/>
            </w:tcBorders>
            <w:noWrap/>
            <w:vAlign w:val="center"/>
            <w:hideMark/>
          </w:tcPr>
          <w:p w14:paraId="20A2AC6D"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65%</w:t>
            </w:r>
          </w:p>
        </w:tc>
      </w:tr>
      <w:tr w:rsidR="00FD7BCC" w:rsidRPr="005732FC" w14:paraId="02FDA016" w14:textId="77777777" w:rsidTr="008C77A6">
        <w:trPr>
          <w:trHeight w:val="136"/>
        </w:trPr>
        <w:tc>
          <w:tcPr>
            <w:tcW w:w="2725" w:type="pct"/>
            <w:tcBorders>
              <w:top w:val="nil"/>
              <w:left w:val="nil"/>
              <w:bottom w:val="nil"/>
              <w:right w:val="nil"/>
            </w:tcBorders>
            <w:vAlign w:val="center"/>
            <w:hideMark/>
          </w:tcPr>
          <w:p w14:paraId="53A6790B"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11. Impuestos sobre los Ingresos</w:t>
            </w:r>
          </w:p>
        </w:tc>
        <w:tc>
          <w:tcPr>
            <w:tcW w:w="783" w:type="pct"/>
            <w:tcBorders>
              <w:top w:val="nil"/>
              <w:left w:val="nil"/>
              <w:bottom w:val="nil"/>
              <w:right w:val="nil"/>
            </w:tcBorders>
            <w:noWrap/>
            <w:vAlign w:val="center"/>
            <w:hideMark/>
          </w:tcPr>
          <w:p w14:paraId="347E809A"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20,238,890.00</w:t>
            </w:r>
          </w:p>
          <w:p w14:paraId="7418531B"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643937BB"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5,273,311.00</w:t>
            </w:r>
          </w:p>
        </w:tc>
        <w:tc>
          <w:tcPr>
            <w:tcW w:w="556" w:type="pct"/>
            <w:tcBorders>
              <w:top w:val="nil"/>
              <w:left w:val="nil"/>
              <w:bottom w:val="nil"/>
              <w:right w:val="nil"/>
            </w:tcBorders>
            <w:noWrap/>
            <w:vAlign w:val="center"/>
            <w:hideMark/>
          </w:tcPr>
          <w:p w14:paraId="021BE3C5"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26%</w:t>
            </w:r>
          </w:p>
        </w:tc>
      </w:tr>
      <w:tr w:rsidR="00FD7BCC" w:rsidRPr="005732FC" w14:paraId="70F21212" w14:textId="77777777" w:rsidTr="008C77A6">
        <w:trPr>
          <w:trHeight w:val="183"/>
        </w:trPr>
        <w:tc>
          <w:tcPr>
            <w:tcW w:w="2725" w:type="pct"/>
            <w:tcBorders>
              <w:top w:val="nil"/>
              <w:left w:val="nil"/>
              <w:bottom w:val="nil"/>
              <w:right w:val="nil"/>
            </w:tcBorders>
            <w:vAlign w:val="center"/>
            <w:hideMark/>
          </w:tcPr>
          <w:p w14:paraId="56F32337"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12.Impuesto sobre el patrimonio</w:t>
            </w:r>
          </w:p>
        </w:tc>
        <w:tc>
          <w:tcPr>
            <w:tcW w:w="783" w:type="pct"/>
            <w:tcBorders>
              <w:top w:val="nil"/>
              <w:left w:val="nil"/>
              <w:bottom w:val="nil"/>
              <w:right w:val="nil"/>
            </w:tcBorders>
            <w:noWrap/>
            <w:vAlign w:val="center"/>
            <w:hideMark/>
          </w:tcPr>
          <w:p w14:paraId="489AE0CC"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1,062,870,947.00</w:t>
            </w:r>
          </w:p>
          <w:p w14:paraId="78AED2EA"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65DE4EEB"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832,151,826.00</w:t>
            </w:r>
          </w:p>
        </w:tc>
        <w:tc>
          <w:tcPr>
            <w:tcW w:w="556" w:type="pct"/>
            <w:tcBorders>
              <w:top w:val="nil"/>
              <w:left w:val="nil"/>
              <w:bottom w:val="nil"/>
              <w:right w:val="nil"/>
            </w:tcBorders>
            <w:noWrap/>
            <w:vAlign w:val="center"/>
            <w:hideMark/>
          </w:tcPr>
          <w:p w14:paraId="1C868D93"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78%</w:t>
            </w:r>
          </w:p>
        </w:tc>
      </w:tr>
      <w:tr w:rsidR="00FD7BCC" w:rsidRPr="005732FC" w14:paraId="11CAFED6" w14:textId="77777777" w:rsidTr="008C77A6">
        <w:trPr>
          <w:trHeight w:val="228"/>
        </w:trPr>
        <w:tc>
          <w:tcPr>
            <w:tcW w:w="2725" w:type="pct"/>
            <w:tcBorders>
              <w:top w:val="nil"/>
              <w:left w:val="nil"/>
              <w:bottom w:val="nil"/>
              <w:right w:val="nil"/>
            </w:tcBorders>
            <w:vAlign w:val="center"/>
            <w:hideMark/>
          </w:tcPr>
          <w:p w14:paraId="11AC3C4C"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13. Impuestos sobre la producción, el consumo y las transacciones</w:t>
            </w:r>
          </w:p>
        </w:tc>
        <w:tc>
          <w:tcPr>
            <w:tcW w:w="783" w:type="pct"/>
            <w:tcBorders>
              <w:top w:val="nil"/>
              <w:left w:val="nil"/>
              <w:bottom w:val="nil"/>
              <w:right w:val="nil"/>
            </w:tcBorders>
            <w:noWrap/>
            <w:vAlign w:val="center"/>
            <w:hideMark/>
          </w:tcPr>
          <w:p w14:paraId="1791D78D"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888,778,924.00</w:t>
            </w:r>
          </w:p>
          <w:p w14:paraId="5106E894"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111563FD"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439,283,727.00</w:t>
            </w:r>
          </w:p>
        </w:tc>
        <w:tc>
          <w:tcPr>
            <w:tcW w:w="556" w:type="pct"/>
            <w:tcBorders>
              <w:top w:val="nil"/>
              <w:left w:val="nil"/>
              <w:bottom w:val="nil"/>
              <w:right w:val="nil"/>
            </w:tcBorders>
            <w:noWrap/>
            <w:vAlign w:val="center"/>
            <w:hideMark/>
          </w:tcPr>
          <w:p w14:paraId="7CA99BCD"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49%</w:t>
            </w:r>
          </w:p>
        </w:tc>
      </w:tr>
      <w:tr w:rsidR="00FD7BCC" w:rsidRPr="005732FC" w14:paraId="32E072B6" w14:textId="77777777" w:rsidTr="008C77A6">
        <w:trPr>
          <w:trHeight w:val="171"/>
        </w:trPr>
        <w:tc>
          <w:tcPr>
            <w:tcW w:w="2725" w:type="pct"/>
            <w:tcBorders>
              <w:top w:val="nil"/>
              <w:left w:val="nil"/>
              <w:bottom w:val="nil"/>
              <w:right w:val="nil"/>
            </w:tcBorders>
            <w:vAlign w:val="center"/>
            <w:hideMark/>
          </w:tcPr>
          <w:p w14:paraId="339F18DB"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17.Accesorios de Impuestos</w:t>
            </w:r>
          </w:p>
        </w:tc>
        <w:tc>
          <w:tcPr>
            <w:tcW w:w="783" w:type="pct"/>
            <w:tcBorders>
              <w:top w:val="nil"/>
              <w:left w:val="nil"/>
              <w:bottom w:val="nil"/>
              <w:right w:val="nil"/>
            </w:tcBorders>
            <w:noWrap/>
            <w:vAlign w:val="center"/>
            <w:hideMark/>
          </w:tcPr>
          <w:p w14:paraId="79895D7A"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56,091,795.00</w:t>
            </w:r>
          </w:p>
          <w:p w14:paraId="25D3FBF2"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507538AC"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38,040,940.06</w:t>
            </w:r>
          </w:p>
        </w:tc>
        <w:tc>
          <w:tcPr>
            <w:tcW w:w="556" w:type="pct"/>
            <w:tcBorders>
              <w:top w:val="nil"/>
              <w:left w:val="nil"/>
              <w:bottom w:val="nil"/>
              <w:right w:val="nil"/>
            </w:tcBorders>
            <w:noWrap/>
            <w:vAlign w:val="center"/>
            <w:hideMark/>
          </w:tcPr>
          <w:p w14:paraId="3C0BFC72"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68%</w:t>
            </w:r>
          </w:p>
        </w:tc>
      </w:tr>
      <w:tr w:rsidR="00FD7BCC" w:rsidRPr="005732FC" w14:paraId="0D6B4FFD" w14:textId="77777777" w:rsidTr="008C77A6">
        <w:trPr>
          <w:trHeight w:val="80"/>
        </w:trPr>
        <w:tc>
          <w:tcPr>
            <w:tcW w:w="2725" w:type="pct"/>
            <w:tcBorders>
              <w:top w:val="nil"/>
              <w:left w:val="nil"/>
              <w:bottom w:val="nil"/>
              <w:right w:val="nil"/>
            </w:tcBorders>
            <w:vAlign w:val="center"/>
            <w:hideMark/>
          </w:tcPr>
          <w:p w14:paraId="679D8D07"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18.Otros impuestos</w:t>
            </w:r>
          </w:p>
        </w:tc>
        <w:tc>
          <w:tcPr>
            <w:tcW w:w="783" w:type="pct"/>
            <w:tcBorders>
              <w:top w:val="nil"/>
              <w:left w:val="nil"/>
              <w:bottom w:val="nil"/>
              <w:right w:val="nil"/>
            </w:tcBorders>
            <w:noWrap/>
            <w:vAlign w:val="center"/>
            <w:hideMark/>
          </w:tcPr>
          <w:p w14:paraId="22382860"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251,573,572.00</w:t>
            </w:r>
          </w:p>
          <w:p w14:paraId="5F71B4C1"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28302DB3"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163,353,104.28</w:t>
            </w:r>
          </w:p>
        </w:tc>
        <w:tc>
          <w:tcPr>
            <w:tcW w:w="556" w:type="pct"/>
            <w:tcBorders>
              <w:top w:val="nil"/>
              <w:left w:val="nil"/>
              <w:bottom w:val="nil"/>
              <w:right w:val="nil"/>
            </w:tcBorders>
            <w:noWrap/>
            <w:vAlign w:val="center"/>
            <w:hideMark/>
          </w:tcPr>
          <w:p w14:paraId="5B5600D8"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65%</w:t>
            </w:r>
          </w:p>
        </w:tc>
      </w:tr>
      <w:tr w:rsidR="00FD7BCC" w:rsidRPr="005732FC" w14:paraId="39E5B094" w14:textId="77777777" w:rsidTr="008C77A6">
        <w:trPr>
          <w:trHeight w:val="20"/>
        </w:trPr>
        <w:tc>
          <w:tcPr>
            <w:tcW w:w="2725" w:type="pct"/>
            <w:tcBorders>
              <w:top w:val="nil"/>
              <w:left w:val="nil"/>
              <w:bottom w:val="nil"/>
              <w:right w:val="nil"/>
            </w:tcBorders>
            <w:vAlign w:val="center"/>
            <w:hideMark/>
          </w:tcPr>
          <w:p w14:paraId="68E85780"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19. Impuestos no Comprendidos en las Fracciones de la Ley de Ingresos Causados en Ejercicios Fiscales Anteriores Pendientes de Liquidación o Pago</w:t>
            </w:r>
          </w:p>
        </w:tc>
        <w:tc>
          <w:tcPr>
            <w:tcW w:w="783" w:type="pct"/>
            <w:tcBorders>
              <w:top w:val="nil"/>
              <w:left w:val="nil"/>
              <w:bottom w:val="nil"/>
              <w:right w:val="nil"/>
            </w:tcBorders>
            <w:noWrap/>
            <w:vAlign w:val="center"/>
            <w:hideMark/>
          </w:tcPr>
          <w:p w14:paraId="3471CB5A"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0.00</w:t>
            </w:r>
          </w:p>
        </w:tc>
        <w:tc>
          <w:tcPr>
            <w:tcW w:w="936" w:type="pct"/>
            <w:tcBorders>
              <w:top w:val="nil"/>
              <w:left w:val="nil"/>
              <w:bottom w:val="nil"/>
              <w:right w:val="nil"/>
            </w:tcBorders>
            <w:noWrap/>
            <w:vAlign w:val="center"/>
            <w:hideMark/>
          </w:tcPr>
          <w:p w14:paraId="0C930D39"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0.00</w:t>
            </w:r>
          </w:p>
        </w:tc>
        <w:tc>
          <w:tcPr>
            <w:tcW w:w="556" w:type="pct"/>
            <w:tcBorders>
              <w:top w:val="nil"/>
              <w:left w:val="nil"/>
              <w:bottom w:val="nil"/>
              <w:right w:val="nil"/>
            </w:tcBorders>
            <w:noWrap/>
            <w:vAlign w:val="center"/>
            <w:hideMark/>
          </w:tcPr>
          <w:p w14:paraId="006EE8CD"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0%</w:t>
            </w:r>
          </w:p>
        </w:tc>
      </w:tr>
      <w:tr w:rsidR="00FD7BCC" w:rsidRPr="005732FC" w14:paraId="6A30FB7B" w14:textId="77777777" w:rsidTr="008C77A6">
        <w:trPr>
          <w:trHeight w:val="210"/>
        </w:trPr>
        <w:tc>
          <w:tcPr>
            <w:tcW w:w="2725" w:type="pct"/>
            <w:tcBorders>
              <w:top w:val="nil"/>
              <w:left w:val="nil"/>
              <w:bottom w:val="nil"/>
              <w:right w:val="nil"/>
            </w:tcBorders>
            <w:vAlign w:val="center"/>
            <w:hideMark/>
          </w:tcPr>
          <w:p w14:paraId="3BB3E8C5"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4. Derechos</w:t>
            </w:r>
          </w:p>
        </w:tc>
        <w:tc>
          <w:tcPr>
            <w:tcW w:w="783" w:type="pct"/>
            <w:tcBorders>
              <w:top w:val="nil"/>
              <w:left w:val="nil"/>
              <w:bottom w:val="nil"/>
              <w:right w:val="nil"/>
            </w:tcBorders>
            <w:noWrap/>
            <w:vAlign w:val="center"/>
            <w:hideMark/>
          </w:tcPr>
          <w:p w14:paraId="7FF5AC0C" w14:textId="77777777" w:rsidR="00FD7BCC" w:rsidRPr="005732FC" w:rsidRDefault="00FD7BCC" w:rsidP="008C77A6">
            <w:pPr>
              <w:pStyle w:val="Sinespaciado"/>
              <w:jc w:val="right"/>
              <w:rPr>
                <w:rFonts w:ascii="Arial" w:hAnsi="Arial" w:cs="Arial"/>
                <w:b/>
                <w:bCs/>
                <w:sz w:val="20"/>
                <w:szCs w:val="20"/>
                <w:lang w:eastAsia="es-MX"/>
              </w:rPr>
            </w:pPr>
            <w:r w:rsidRPr="005732FC">
              <w:rPr>
                <w:rFonts w:ascii="Arial" w:hAnsi="Arial" w:cs="Arial"/>
                <w:b/>
                <w:bCs/>
                <w:sz w:val="20"/>
                <w:szCs w:val="20"/>
                <w:lang w:eastAsia="es-MX"/>
              </w:rPr>
              <w:t>2,196,529,742.00</w:t>
            </w:r>
          </w:p>
          <w:p w14:paraId="0ED64A70"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4DF26AC0"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1,286,938,571.74</w:t>
            </w:r>
          </w:p>
        </w:tc>
        <w:tc>
          <w:tcPr>
            <w:tcW w:w="556" w:type="pct"/>
            <w:tcBorders>
              <w:top w:val="nil"/>
              <w:left w:val="nil"/>
              <w:bottom w:val="nil"/>
              <w:right w:val="nil"/>
            </w:tcBorders>
            <w:noWrap/>
            <w:vAlign w:val="center"/>
            <w:hideMark/>
          </w:tcPr>
          <w:p w14:paraId="67F62D33"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59%</w:t>
            </w:r>
          </w:p>
        </w:tc>
      </w:tr>
      <w:tr w:rsidR="00FD7BCC" w:rsidRPr="005732FC" w14:paraId="340EF4F8" w14:textId="77777777" w:rsidTr="008C77A6">
        <w:trPr>
          <w:trHeight w:val="413"/>
        </w:trPr>
        <w:tc>
          <w:tcPr>
            <w:tcW w:w="2725" w:type="pct"/>
            <w:tcBorders>
              <w:top w:val="nil"/>
              <w:left w:val="nil"/>
              <w:bottom w:val="nil"/>
              <w:right w:val="nil"/>
            </w:tcBorders>
            <w:vAlign w:val="center"/>
            <w:hideMark/>
          </w:tcPr>
          <w:p w14:paraId="742C847B"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41. Derechos por el uso, goce, aprovechamiento o explotación de bienes de dominio público.</w:t>
            </w:r>
          </w:p>
        </w:tc>
        <w:tc>
          <w:tcPr>
            <w:tcW w:w="783" w:type="pct"/>
            <w:tcBorders>
              <w:top w:val="nil"/>
              <w:left w:val="nil"/>
              <w:bottom w:val="nil"/>
              <w:right w:val="nil"/>
            </w:tcBorders>
            <w:noWrap/>
            <w:vAlign w:val="center"/>
            <w:hideMark/>
          </w:tcPr>
          <w:p w14:paraId="6AE36AFA"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46,569,619.00</w:t>
            </w:r>
          </w:p>
          <w:p w14:paraId="318BE23F"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5E73543D"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21,346,665.00</w:t>
            </w:r>
          </w:p>
        </w:tc>
        <w:tc>
          <w:tcPr>
            <w:tcW w:w="556" w:type="pct"/>
            <w:tcBorders>
              <w:top w:val="nil"/>
              <w:left w:val="nil"/>
              <w:bottom w:val="nil"/>
              <w:right w:val="nil"/>
            </w:tcBorders>
            <w:noWrap/>
            <w:vAlign w:val="center"/>
            <w:hideMark/>
          </w:tcPr>
          <w:p w14:paraId="0973A1B3"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46%</w:t>
            </w:r>
          </w:p>
        </w:tc>
      </w:tr>
      <w:tr w:rsidR="00FD7BCC" w:rsidRPr="005732FC" w14:paraId="4C6E91E1" w14:textId="77777777" w:rsidTr="008C77A6">
        <w:trPr>
          <w:trHeight w:val="220"/>
        </w:trPr>
        <w:tc>
          <w:tcPr>
            <w:tcW w:w="2725" w:type="pct"/>
            <w:tcBorders>
              <w:top w:val="nil"/>
              <w:left w:val="nil"/>
              <w:bottom w:val="nil"/>
              <w:right w:val="nil"/>
            </w:tcBorders>
            <w:vAlign w:val="center"/>
            <w:hideMark/>
          </w:tcPr>
          <w:p w14:paraId="3CD896A0"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43. Derechos por prestación de servicios</w:t>
            </w:r>
          </w:p>
        </w:tc>
        <w:tc>
          <w:tcPr>
            <w:tcW w:w="783" w:type="pct"/>
            <w:tcBorders>
              <w:top w:val="nil"/>
              <w:left w:val="nil"/>
              <w:bottom w:val="nil"/>
              <w:right w:val="nil"/>
            </w:tcBorders>
            <w:noWrap/>
            <w:vAlign w:val="center"/>
            <w:hideMark/>
          </w:tcPr>
          <w:p w14:paraId="5C174B5E"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2,127,287,511.00</w:t>
            </w:r>
          </w:p>
          <w:p w14:paraId="04B34DC9"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6DBBDC6D"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1,225,004,083.29</w:t>
            </w:r>
          </w:p>
        </w:tc>
        <w:tc>
          <w:tcPr>
            <w:tcW w:w="556" w:type="pct"/>
            <w:tcBorders>
              <w:top w:val="nil"/>
              <w:left w:val="nil"/>
              <w:bottom w:val="nil"/>
              <w:right w:val="nil"/>
            </w:tcBorders>
            <w:noWrap/>
            <w:vAlign w:val="center"/>
            <w:hideMark/>
          </w:tcPr>
          <w:p w14:paraId="5B043B94"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58%</w:t>
            </w:r>
          </w:p>
        </w:tc>
      </w:tr>
      <w:tr w:rsidR="00FD7BCC" w:rsidRPr="005732FC" w14:paraId="0702C59C" w14:textId="77777777" w:rsidTr="008C77A6">
        <w:trPr>
          <w:trHeight w:val="80"/>
        </w:trPr>
        <w:tc>
          <w:tcPr>
            <w:tcW w:w="2725" w:type="pct"/>
            <w:tcBorders>
              <w:top w:val="nil"/>
              <w:left w:val="nil"/>
              <w:bottom w:val="nil"/>
              <w:right w:val="nil"/>
            </w:tcBorders>
            <w:vAlign w:val="center"/>
            <w:hideMark/>
          </w:tcPr>
          <w:p w14:paraId="48DF3AE8"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44. Otros Derechos</w:t>
            </w:r>
          </w:p>
        </w:tc>
        <w:tc>
          <w:tcPr>
            <w:tcW w:w="783" w:type="pct"/>
            <w:tcBorders>
              <w:top w:val="nil"/>
              <w:left w:val="nil"/>
              <w:bottom w:val="nil"/>
              <w:right w:val="nil"/>
            </w:tcBorders>
            <w:noWrap/>
            <w:vAlign w:val="center"/>
            <w:hideMark/>
          </w:tcPr>
          <w:p w14:paraId="36E3ABC6"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10,472,350.00</w:t>
            </w:r>
          </w:p>
          <w:p w14:paraId="5741AE6F"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0DCDBA8F"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36,969,926.45</w:t>
            </w:r>
          </w:p>
        </w:tc>
        <w:tc>
          <w:tcPr>
            <w:tcW w:w="556" w:type="pct"/>
            <w:tcBorders>
              <w:top w:val="nil"/>
              <w:left w:val="nil"/>
              <w:bottom w:val="nil"/>
              <w:right w:val="nil"/>
            </w:tcBorders>
            <w:noWrap/>
            <w:vAlign w:val="center"/>
            <w:hideMark/>
          </w:tcPr>
          <w:p w14:paraId="287AB872"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303%</w:t>
            </w:r>
          </w:p>
        </w:tc>
      </w:tr>
      <w:tr w:rsidR="00FD7BCC" w:rsidRPr="005732FC" w14:paraId="59F9CA32" w14:textId="77777777" w:rsidTr="008C77A6">
        <w:trPr>
          <w:trHeight w:val="168"/>
        </w:trPr>
        <w:tc>
          <w:tcPr>
            <w:tcW w:w="2725" w:type="pct"/>
            <w:tcBorders>
              <w:top w:val="nil"/>
              <w:left w:val="nil"/>
              <w:bottom w:val="nil"/>
              <w:right w:val="nil"/>
            </w:tcBorders>
            <w:vAlign w:val="center"/>
            <w:hideMark/>
          </w:tcPr>
          <w:p w14:paraId="10639D22"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45. Accesorios de Derechos</w:t>
            </w:r>
          </w:p>
        </w:tc>
        <w:tc>
          <w:tcPr>
            <w:tcW w:w="783" w:type="pct"/>
            <w:tcBorders>
              <w:top w:val="nil"/>
              <w:left w:val="nil"/>
              <w:bottom w:val="nil"/>
              <w:right w:val="nil"/>
            </w:tcBorders>
            <w:noWrap/>
            <w:vAlign w:val="center"/>
            <w:hideMark/>
          </w:tcPr>
          <w:p w14:paraId="588FE250"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12,200,262.00</w:t>
            </w:r>
          </w:p>
          <w:p w14:paraId="22EA0369"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06919FA6"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3,617,897.00</w:t>
            </w:r>
          </w:p>
        </w:tc>
        <w:tc>
          <w:tcPr>
            <w:tcW w:w="556" w:type="pct"/>
            <w:tcBorders>
              <w:top w:val="nil"/>
              <w:left w:val="nil"/>
              <w:bottom w:val="nil"/>
              <w:right w:val="nil"/>
            </w:tcBorders>
            <w:noWrap/>
            <w:vAlign w:val="center"/>
            <w:hideMark/>
          </w:tcPr>
          <w:p w14:paraId="1BA6683E"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35%</w:t>
            </w:r>
          </w:p>
        </w:tc>
      </w:tr>
      <w:tr w:rsidR="00FD7BCC" w:rsidRPr="005732FC" w14:paraId="015EE5C5" w14:textId="77777777" w:rsidTr="008C77A6">
        <w:trPr>
          <w:trHeight w:val="20"/>
        </w:trPr>
        <w:tc>
          <w:tcPr>
            <w:tcW w:w="2725" w:type="pct"/>
            <w:tcBorders>
              <w:top w:val="nil"/>
              <w:left w:val="nil"/>
              <w:bottom w:val="nil"/>
              <w:right w:val="nil"/>
            </w:tcBorders>
            <w:vAlign w:val="center"/>
            <w:hideMark/>
          </w:tcPr>
          <w:p w14:paraId="5ECEB86E"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49. Derechos No Comprendidos en las Fracciones de la Ley de Ingresos Causadas en Ejercicios Fiscales Anteriores Pendientes de Liquidación o Pago</w:t>
            </w:r>
          </w:p>
        </w:tc>
        <w:tc>
          <w:tcPr>
            <w:tcW w:w="783" w:type="pct"/>
            <w:tcBorders>
              <w:top w:val="nil"/>
              <w:left w:val="nil"/>
              <w:bottom w:val="nil"/>
              <w:right w:val="nil"/>
            </w:tcBorders>
            <w:noWrap/>
            <w:vAlign w:val="center"/>
            <w:hideMark/>
          </w:tcPr>
          <w:p w14:paraId="3B862CC0"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0.00</w:t>
            </w:r>
          </w:p>
        </w:tc>
        <w:tc>
          <w:tcPr>
            <w:tcW w:w="936" w:type="pct"/>
            <w:tcBorders>
              <w:top w:val="nil"/>
              <w:left w:val="nil"/>
              <w:bottom w:val="nil"/>
              <w:right w:val="nil"/>
            </w:tcBorders>
            <w:noWrap/>
            <w:vAlign w:val="center"/>
            <w:hideMark/>
          </w:tcPr>
          <w:p w14:paraId="256FA4F5"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rPr>
              <w:t>0.00</w:t>
            </w:r>
          </w:p>
        </w:tc>
        <w:tc>
          <w:tcPr>
            <w:tcW w:w="556" w:type="pct"/>
            <w:tcBorders>
              <w:top w:val="nil"/>
              <w:left w:val="nil"/>
              <w:bottom w:val="nil"/>
              <w:right w:val="nil"/>
            </w:tcBorders>
            <w:noWrap/>
            <w:vAlign w:val="center"/>
            <w:hideMark/>
          </w:tcPr>
          <w:p w14:paraId="4718115D" w14:textId="77777777" w:rsidR="00FD7BCC" w:rsidRPr="005732FC" w:rsidRDefault="00FD7BCC" w:rsidP="008C77A6">
            <w:pPr>
              <w:pStyle w:val="Sinespaciado"/>
              <w:jc w:val="right"/>
              <w:rPr>
                <w:rFonts w:ascii="Arial" w:hAnsi="Arial" w:cs="Arial"/>
                <w:b/>
                <w:bCs/>
                <w:sz w:val="20"/>
                <w:szCs w:val="20"/>
                <w:lang w:eastAsia="es-MX"/>
              </w:rPr>
            </w:pPr>
            <w:r w:rsidRPr="005732FC">
              <w:rPr>
                <w:rFonts w:ascii="Arial" w:hAnsi="Arial" w:cs="Arial"/>
                <w:b/>
                <w:bCs/>
                <w:sz w:val="20"/>
                <w:szCs w:val="20"/>
              </w:rPr>
              <w:t>0%</w:t>
            </w:r>
          </w:p>
        </w:tc>
      </w:tr>
      <w:tr w:rsidR="00FD7BCC" w:rsidRPr="005732FC" w14:paraId="5BC946ED" w14:textId="77777777" w:rsidTr="008C77A6">
        <w:trPr>
          <w:trHeight w:val="183"/>
        </w:trPr>
        <w:tc>
          <w:tcPr>
            <w:tcW w:w="2725" w:type="pct"/>
            <w:tcBorders>
              <w:top w:val="nil"/>
              <w:left w:val="nil"/>
              <w:bottom w:val="nil"/>
              <w:right w:val="nil"/>
            </w:tcBorders>
            <w:vAlign w:val="center"/>
            <w:hideMark/>
          </w:tcPr>
          <w:p w14:paraId="30A166E5"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5. Productos</w:t>
            </w:r>
          </w:p>
        </w:tc>
        <w:tc>
          <w:tcPr>
            <w:tcW w:w="783" w:type="pct"/>
            <w:tcBorders>
              <w:top w:val="nil"/>
              <w:left w:val="nil"/>
              <w:bottom w:val="nil"/>
              <w:right w:val="nil"/>
            </w:tcBorders>
            <w:noWrap/>
            <w:vAlign w:val="center"/>
            <w:hideMark/>
          </w:tcPr>
          <w:p w14:paraId="3AF53F1A" w14:textId="77777777" w:rsidR="00FD7BCC" w:rsidRPr="005732FC" w:rsidRDefault="00FD7BCC" w:rsidP="008C77A6">
            <w:pPr>
              <w:pStyle w:val="Sinespaciado"/>
              <w:jc w:val="right"/>
              <w:rPr>
                <w:rFonts w:ascii="Arial" w:hAnsi="Arial" w:cs="Arial"/>
                <w:b/>
                <w:bCs/>
                <w:sz w:val="20"/>
                <w:szCs w:val="20"/>
                <w:lang w:eastAsia="es-MX"/>
              </w:rPr>
            </w:pPr>
            <w:r w:rsidRPr="005732FC">
              <w:rPr>
                <w:rFonts w:ascii="Arial" w:hAnsi="Arial" w:cs="Arial"/>
                <w:b/>
                <w:bCs/>
                <w:sz w:val="20"/>
                <w:szCs w:val="20"/>
                <w:lang w:eastAsia="es-MX"/>
              </w:rPr>
              <w:t>83,369,481.00</w:t>
            </w:r>
          </w:p>
          <w:p w14:paraId="6D829A9A" w14:textId="77777777" w:rsidR="00FD7BCC" w:rsidRPr="005732FC" w:rsidRDefault="00FD7BCC" w:rsidP="008C77A6">
            <w:pPr>
              <w:pStyle w:val="Sinespaciado"/>
              <w:jc w:val="right"/>
              <w:rPr>
                <w:rFonts w:ascii="Arial" w:hAnsi="Arial" w:cs="Arial"/>
                <w:b/>
                <w:bCs/>
                <w:sz w:val="20"/>
                <w:szCs w:val="20"/>
                <w:lang w:eastAsia="es-MX"/>
              </w:rPr>
            </w:pPr>
          </w:p>
        </w:tc>
        <w:tc>
          <w:tcPr>
            <w:tcW w:w="936" w:type="pct"/>
            <w:tcBorders>
              <w:top w:val="nil"/>
              <w:left w:val="nil"/>
              <w:bottom w:val="nil"/>
              <w:right w:val="nil"/>
            </w:tcBorders>
            <w:noWrap/>
            <w:vAlign w:val="center"/>
            <w:hideMark/>
          </w:tcPr>
          <w:p w14:paraId="4671F97C"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70,106,033.61</w:t>
            </w:r>
          </w:p>
        </w:tc>
        <w:tc>
          <w:tcPr>
            <w:tcW w:w="556" w:type="pct"/>
            <w:tcBorders>
              <w:top w:val="nil"/>
              <w:left w:val="nil"/>
              <w:bottom w:val="nil"/>
              <w:right w:val="nil"/>
            </w:tcBorders>
            <w:noWrap/>
            <w:vAlign w:val="center"/>
            <w:hideMark/>
          </w:tcPr>
          <w:p w14:paraId="1D7CE77C"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84%</w:t>
            </w:r>
          </w:p>
        </w:tc>
      </w:tr>
      <w:tr w:rsidR="00FD7BCC" w:rsidRPr="005732FC" w14:paraId="2EF2586A" w14:textId="77777777" w:rsidTr="008C77A6">
        <w:trPr>
          <w:trHeight w:val="80"/>
        </w:trPr>
        <w:tc>
          <w:tcPr>
            <w:tcW w:w="2725" w:type="pct"/>
            <w:tcBorders>
              <w:top w:val="nil"/>
              <w:left w:val="nil"/>
              <w:bottom w:val="nil"/>
              <w:right w:val="nil"/>
            </w:tcBorders>
            <w:vAlign w:val="center"/>
            <w:hideMark/>
          </w:tcPr>
          <w:p w14:paraId="53B2EBDB"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6. Aprovechamientos</w:t>
            </w:r>
          </w:p>
        </w:tc>
        <w:tc>
          <w:tcPr>
            <w:tcW w:w="783" w:type="pct"/>
            <w:tcBorders>
              <w:top w:val="nil"/>
              <w:left w:val="nil"/>
              <w:bottom w:val="nil"/>
              <w:right w:val="nil"/>
            </w:tcBorders>
            <w:noWrap/>
            <w:vAlign w:val="center"/>
            <w:hideMark/>
          </w:tcPr>
          <w:p w14:paraId="120F10C5" w14:textId="77777777" w:rsidR="00FD7BCC" w:rsidRPr="005732FC" w:rsidRDefault="00FD7BCC" w:rsidP="008C77A6">
            <w:pPr>
              <w:pStyle w:val="Sinespaciado"/>
              <w:jc w:val="right"/>
              <w:rPr>
                <w:rFonts w:ascii="Arial" w:hAnsi="Arial" w:cs="Arial"/>
                <w:b/>
                <w:bCs/>
                <w:sz w:val="20"/>
                <w:szCs w:val="20"/>
                <w:lang w:eastAsia="es-MX"/>
              </w:rPr>
            </w:pPr>
            <w:r w:rsidRPr="005732FC">
              <w:rPr>
                <w:rFonts w:ascii="Arial" w:hAnsi="Arial" w:cs="Arial"/>
                <w:b/>
                <w:bCs/>
                <w:sz w:val="20"/>
                <w:szCs w:val="20"/>
                <w:lang w:eastAsia="es-MX"/>
              </w:rPr>
              <w:t>156,557,181.00</w:t>
            </w:r>
          </w:p>
          <w:p w14:paraId="670311BB" w14:textId="77777777" w:rsidR="00FD7BCC" w:rsidRPr="005732FC" w:rsidRDefault="00FD7BCC" w:rsidP="008C77A6">
            <w:pPr>
              <w:pStyle w:val="Sinespaciado"/>
              <w:jc w:val="right"/>
              <w:rPr>
                <w:rFonts w:ascii="Arial" w:hAnsi="Arial" w:cs="Arial"/>
                <w:b/>
                <w:bCs/>
                <w:sz w:val="20"/>
                <w:szCs w:val="20"/>
                <w:lang w:eastAsia="es-MX"/>
              </w:rPr>
            </w:pPr>
          </w:p>
        </w:tc>
        <w:tc>
          <w:tcPr>
            <w:tcW w:w="936" w:type="pct"/>
            <w:tcBorders>
              <w:top w:val="nil"/>
              <w:left w:val="nil"/>
              <w:bottom w:val="nil"/>
              <w:right w:val="nil"/>
            </w:tcBorders>
            <w:noWrap/>
            <w:vAlign w:val="center"/>
            <w:hideMark/>
          </w:tcPr>
          <w:p w14:paraId="7BCC2DAA"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53,309,178.00</w:t>
            </w:r>
          </w:p>
        </w:tc>
        <w:tc>
          <w:tcPr>
            <w:tcW w:w="556" w:type="pct"/>
            <w:tcBorders>
              <w:top w:val="nil"/>
              <w:left w:val="nil"/>
              <w:bottom w:val="nil"/>
              <w:right w:val="nil"/>
            </w:tcBorders>
            <w:noWrap/>
            <w:vAlign w:val="center"/>
            <w:hideMark/>
          </w:tcPr>
          <w:p w14:paraId="6300C0D3"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34%</w:t>
            </w:r>
          </w:p>
        </w:tc>
      </w:tr>
      <w:tr w:rsidR="00FD7BCC" w:rsidRPr="005732FC" w14:paraId="12E61FE0" w14:textId="77777777" w:rsidTr="008C77A6">
        <w:trPr>
          <w:trHeight w:val="20"/>
        </w:trPr>
        <w:tc>
          <w:tcPr>
            <w:tcW w:w="2725" w:type="pct"/>
            <w:tcBorders>
              <w:top w:val="nil"/>
              <w:left w:val="nil"/>
              <w:bottom w:val="nil"/>
              <w:right w:val="nil"/>
            </w:tcBorders>
            <w:vAlign w:val="center"/>
            <w:hideMark/>
          </w:tcPr>
          <w:p w14:paraId="2236945B"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7. Ingresos por ventas de bienes, prestación de servicios y otros ingresos</w:t>
            </w:r>
          </w:p>
        </w:tc>
        <w:tc>
          <w:tcPr>
            <w:tcW w:w="783" w:type="pct"/>
            <w:tcBorders>
              <w:top w:val="nil"/>
              <w:left w:val="nil"/>
              <w:bottom w:val="nil"/>
              <w:right w:val="nil"/>
            </w:tcBorders>
            <w:noWrap/>
            <w:vAlign w:val="center"/>
            <w:hideMark/>
          </w:tcPr>
          <w:p w14:paraId="22E6233A" w14:textId="77777777" w:rsidR="00FD7BCC" w:rsidRPr="005732FC" w:rsidRDefault="00FD7BCC" w:rsidP="008C77A6">
            <w:pPr>
              <w:pStyle w:val="Sinespaciado"/>
              <w:jc w:val="right"/>
              <w:rPr>
                <w:rFonts w:ascii="Arial" w:hAnsi="Arial" w:cs="Arial"/>
                <w:b/>
                <w:bCs/>
                <w:sz w:val="20"/>
                <w:szCs w:val="20"/>
                <w:lang w:eastAsia="es-MX"/>
              </w:rPr>
            </w:pPr>
            <w:r w:rsidRPr="005732FC">
              <w:rPr>
                <w:rFonts w:ascii="Arial" w:hAnsi="Arial" w:cs="Arial"/>
                <w:b/>
                <w:bCs/>
                <w:sz w:val="20"/>
                <w:szCs w:val="20"/>
                <w:lang w:eastAsia="es-MX"/>
              </w:rPr>
              <w:t>0.00</w:t>
            </w:r>
          </w:p>
        </w:tc>
        <w:tc>
          <w:tcPr>
            <w:tcW w:w="936" w:type="pct"/>
            <w:tcBorders>
              <w:top w:val="nil"/>
              <w:left w:val="nil"/>
              <w:bottom w:val="nil"/>
              <w:right w:val="nil"/>
            </w:tcBorders>
            <w:noWrap/>
            <w:vAlign w:val="center"/>
            <w:hideMark/>
          </w:tcPr>
          <w:p w14:paraId="71E23C70"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1,118,141.12</w:t>
            </w:r>
          </w:p>
        </w:tc>
        <w:tc>
          <w:tcPr>
            <w:tcW w:w="556" w:type="pct"/>
            <w:tcBorders>
              <w:top w:val="nil"/>
              <w:left w:val="nil"/>
              <w:bottom w:val="nil"/>
              <w:right w:val="nil"/>
            </w:tcBorders>
            <w:noWrap/>
            <w:vAlign w:val="center"/>
            <w:hideMark/>
          </w:tcPr>
          <w:p w14:paraId="0F3582C3"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100%</w:t>
            </w:r>
          </w:p>
        </w:tc>
      </w:tr>
      <w:tr w:rsidR="00FD7BCC" w:rsidRPr="005732FC" w14:paraId="1E8B08E0" w14:textId="77777777" w:rsidTr="008C77A6">
        <w:trPr>
          <w:trHeight w:val="238"/>
        </w:trPr>
        <w:tc>
          <w:tcPr>
            <w:tcW w:w="2725" w:type="pct"/>
            <w:tcBorders>
              <w:top w:val="nil"/>
              <w:left w:val="nil"/>
              <w:bottom w:val="nil"/>
              <w:right w:val="nil"/>
            </w:tcBorders>
            <w:vAlign w:val="center"/>
            <w:hideMark/>
          </w:tcPr>
          <w:p w14:paraId="21618E39"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8. Participaciones, Aportaciones Y Convenios</w:t>
            </w:r>
          </w:p>
        </w:tc>
        <w:tc>
          <w:tcPr>
            <w:tcW w:w="783" w:type="pct"/>
            <w:tcBorders>
              <w:top w:val="nil"/>
              <w:left w:val="nil"/>
              <w:bottom w:val="nil"/>
              <w:right w:val="nil"/>
            </w:tcBorders>
            <w:noWrap/>
            <w:vAlign w:val="center"/>
            <w:hideMark/>
          </w:tcPr>
          <w:p w14:paraId="3699DCE0" w14:textId="77777777" w:rsidR="00FD7BCC" w:rsidRPr="005732FC" w:rsidRDefault="00FD7BCC" w:rsidP="008C77A6">
            <w:pPr>
              <w:pStyle w:val="Sinespaciado"/>
              <w:jc w:val="right"/>
              <w:rPr>
                <w:rFonts w:ascii="Arial" w:hAnsi="Arial" w:cs="Arial"/>
                <w:b/>
                <w:bCs/>
                <w:sz w:val="20"/>
                <w:szCs w:val="20"/>
                <w:lang w:eastAsia="es-MX"/>
              </w:rPr>
            </w:pPr>
            <w:r w:rsidRPr="005732FC">
              <w:rPr>
                <w:rFonts w:ascii="Arial" w:hAnsi="Arial" w:cs="Arial"/>
                <w:b/>
                <w:bCs/>
                <w:sz w:val="20"/>
                <w:szCs w:val="20"/>
                <w:lang w:eastAsia="es-MX"/>
              </w:rPr>
              <w:t>2,920,369,156.00</w:t>
            </w:r>
          </w:p>
          <w:p w14:paraId="47BB51BE" w14:textId="77777777" w:rsidR="00FD7BCC" w:rsidRPr="005732FC" w:rsidRDefault="00FD7BCC" w:rsidP="008C77A6">
            <w:pPr>
              <w:pStyle w:val="Sinespaciado"/>
              <w:jc w:val="right"/>
              <w:rPr>
                <w:rFonts w:ascii="Arial" w:hAnsi="Arial" w:cs="Arial"/>
                <w:b/>
                <w:bCs/>
                <w:sz w:val="20"/>
                <w:szCs w:val="20"/>
                <w:lang w:eastAsia="es-MX"/>
              </w:rPr>
            </w:pPr>
          </w:p>
        </w:tc>
        <w:tc>
          <w:tcPr>
            <w:tcW w:w="936" w:type="pct"/>
            <w:tcBorders>
              <w:top w:val="nil"/>
              <w:left w:val="nil"/>
              <w:bottom w:val="nil"/>
              <w:right w:val="nil"/>
            </w:tcBorders>
            <w:noWrap/>
            <w:vAlign w:val="center"/>
            <w:hideMark/>
          </w:tcPr>
          <w:p w14:paraId="783BD417"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1,614,376,601.72</w:t>
            </w:r>
          </w:p>
        </w:tc>
        <w:tc>
          <w:tcPr>
            <w:tcW w:w="556" w:type="pct"/>
            <w:tcBorders>
              <w:top w:val="nil"/>
              <w:left w:val="nil"/>
              <w:bottom w:val="nil"/>
              <w:right w:val="nil"/>
            </w:tcBorders>
            <w:noWrap/>
            <w:vAlign w:val="center"/>
            <w:hideMark/>
          </w:tcPr>
          <w:p w14:paraId="2A44700A"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55%</w:t>
            </w:r>
          </w:p>
        </w:tc>
      </w:tr>
      <w:tr w:rsidR="00FD7BCC" w:rsidRPr="005732FC" w14:paraId="1E5323B3" w14:textId="77777777" w:rsidTr="008C77A6">
        <w:trPr>
          <w:trHeight w:val="80"/>
        </w:trPr>
        <w:tc>
          <w:tcPr>
            <w:tcW w:w="2725" w:type="pct"/>
            <w:tcBorders>
              <w:top w:val="nil"/>
              <w:left w:val="nil"/>
              <w:bottom w:val="nil"/>
              <w:right w:val="nil"/>
            </w:tcBorders>
            <w:vAlign w:val="center"/>
            <w:hideMark/>
          </w:tcPr>
          <w:p w14:paraId="56E039AA"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81. Participaciones</w:t>
            </w:r>
          </w:p>
        </w:tc>
        <w:tc>
          <w:tcPr>
            <w:tcW w:w="783" w:type="pct"/>
            <w:tcBorders>
              <w:top w:val="nil"/>
              <w:left w:val="nil"/>
              <w:bottom w:val="nil"/>
              <w:right w:val="nil"/>
            </w:tcBorders>
            <w:noWrap/>
            <w:vAlign w:val="center"/>
            <w:hideMark/>
          </w:tcPr>
          <w:p w14:paraId="731102C0"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1,317,059,511.00</w:t>
            </w:r>
          </w:p>
          <w:p w14:paraId="6EA37157"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0F3FFE89"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780,697,033.00</w:t>
            </w:r>
          </w:p>
        </w:tc>
        <w:tc>
          <w:tcPr>
            <w:tcW w:w="556" w:type="pct"/>
            <w:tcBorders>
              <w:top w:val="nil"/>
              <w:left w:val="nil"/>
              <w:bottom w:val="nil"/>
              <w:right w:val="nil"/>
            </w:tcBorders>
            <w:noWrap/>
            <w:vAlign w:val="center"/>
            <w:hideMark/>
          </w:tcPr>
          <w:p w14:paraId="25147ED9"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59%</w:t>
            </w:r>
          </w:p>
        </w:tc>
      </w:tr>
      <w:tr w:rsidR="00FD7BCC" w:rsidRPr="005732FC" w14:paraId="0D0BA68A" w14:textId="77777777" w:rsidTr="008C77A6">
        <w:trPr>
          <w:trHeight w:val="80"/>
        </w:trPr>
        <w:tc>
          <w:tcPr>
            <w:tcW w:w="2725" w:type="pct"/>
            <w:tcBorders>
              <w:top w:val="nil"/>
              <w:left w:val="nil"/>
              <w:bottom w:val="nil"/>
              <w:right w:val="nil"/>
            </w:tcBorders>
            <w:vAlign w:val="center"/>
            <w:hideMark/>
          </w:tcPr>
          <w:p w14:paraId="768D4DD6"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82. Aportaciones</w:t>
            </w:r>
          </w:p>
        </w:tc>
        <w:tc>
          <w:tcPr>
            <w:tcW w:w="783" w:type="pct"/>
            <w:tcBorders>
              <w:top w:val="nil"/>
              <w:left w:val="nil"/>
              <w:bottom w:val="nil"/>
              <w:right w:val="nil"/>
            </w:tcBorders>
            <w:noWrap/>
            <w:vAlign w:val="center"/>
            <w:hideMark/>
          </w:tcPr>
          <w:p w14:paraId="25EFF358"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1,210,360,492.00</w:t>
            </w:r>
          </w:p>
          <w:p w14:paraId="01574054"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0B4B8354"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620,055,516.00</w:t>
            </w:r>
          </w:p>
        </w:tc>
        <w:tc>
          <w:tcPr>
            <w:tcW w:w="556" w:type="pct"/>
            <w:tcBorders>
              <w:top w:val="nil"/>
              <w:left w:val="nil"/>
              <w:bottom w:val="nil"/>
              <w:right w:val="nil"/>
            </w:tcBorders>
            <w:noWrap/>
            <w:vAlign w:val="center"/>
            <w:hideMark/>
          </w:tcPr>
          <w:p w14:paraId="6AF9D274"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51%</w:t>
            </w:r>
          </w:p>
        </w:tc>
      </w:tr>
      <w:tr w:rsidR="00FD7BCC" w:rsidRPr="005732FC" w14:paraId="79215252" w14:textId="77777777" w:rsidTr="008C77A6">
        <w:trPr>
          <w:trHeight w:val="80"/>
        </w:trPr>
        <w:tc>
          <w:tcPr>
            <w:tcW w:w="2725" w:type="pct"/>
            <w:tcBorders>
              <w:top w:val="nil"/>
              <w:left w:val="nil"/>
              <w:bottom w:val="nil"/>
              <w:right w:val="nil"/>
            </w:tcBorders>
            <w:vAlign w:val="center"/>
            <w:hideMark/>
          </w:tcPr>
          <w:p w14:paraId="1300B7B4"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83. Convenios</w:t>
            </w:r>
          </w:p>
        </w:tc>
        <w:tc>
          <w:tcPr>
            <w:tcW w:w="783" w:type="pct"/>
            <w:tcBorders>
              <w:top w:val="nil"/>
              <w:left w:val="nil"/>
              <w:bottom w:val="nil"/>
              <w:right w:val="nil"/>
            </w:tcBorders>
            <w:noWrap/>
            <w:vAlign w:val="center"/>
            <w:hideMark/>
          </w:tcPr>
          <w:p w14:paraId="1D943761"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227,162,039.00</w:t>
            </w:r>
          </w:p>
          <w:p w14:paraId="5A1D468C"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30285F8C"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92,825,278.95</w:t>
            </w:r>
          </w:p>
        </w:tc>
        <w:tc>
          <w:tcPr>
            <w:tcW w:w="556" w:type="pct"/>
            <w:tcBorders>
              <w:top w:val="nil"/>
              <w:left w:val="nil"/>
              <w:bottom w:val="nil"/>
              <w:right w:val="nil"/>
            </w:tcBorders>
            <w:noWrap/>
            <w:vAlign w:val="center"/>
            <w:hideMark/>
          </w:tcPr>
          <w:p w14:paraId="17E64CE9"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41%</w:t>
            </w:r>
          </w:p>
        </w:tc>
      </w:tr>
      <w:tr w:rsidR="00FD7BCC" w:rsidRPr="005732FC" w14:paraId="37352E88" w14:textId="77777777" w:rsidTr="008C77A6">
        <w:trPr>
          <w:trHeight w:val="95"/>
        </w:trPr>
        <w:tc>
          <w:tcPr>
            <w:tcW w:w="2725" w:type="pct"/>
            <w:tcBorders>
              <w:top w:val="nil"/>
              <w:left w:val="nil"/>
              <w:bottom w:val="nil"/>
              <w:right w:val="nil"/>
            </w:tcBorders>
            <w:vAlign w:val="center"/>
            <w:hideMark/>
          </w:tcPr>
          <w:p w14:paraId="0E5FFF2A"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84.Incentivos derivados de la colaboración fiscal</w:t>
            </w:r>
          </w:p>
        </w:tc>
        <w:tc>
          <w:tcPr>
            <w:tcW w:w="783" w:type="pct"/>
            <w:tcBorders>
              <w:top w:val="nil"/>
              <w:left w:val="nil"/>
              <w:bottom w:val="nil"/>
              <w:right w:val="nil"/>
            </w:tcBorders>
            <w:noWrap/>
            <w:vAlign w:val="center"/>
            <w:hideMark/>
          </w:tcPr>
          <w:p w14:paraId="13CCACFA"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165,787,114.00</w:t>
            </w:r>
          </w:p>
          <w:p w14:paraId="2E14A792" w14:textId="77777777" w:rsidR="00FD7BCC" w:rsidRPr="005732FC" w:rsidRDefault="00FD7BCC" w:rsidP="008C77A6">
            <w:pPr>
              <w:pStyle w:val="Sinespaciado"/>
              <w:jc w:val="right"/>
              <w:rPr>
                <w:rFonts w:ascii="Arial" w:hAnsi="Arial" w:cs="Arial"/>
                <w:sz w:val="20"/>
                <w:szCs w:val="20"/>
                <w:lang w:eastAsia="es-MX"/>
              </w:rPr>
            </w:pPr>
          </w:p>
        </w:tc>
        <w:tc>
          <w:tcPr>
            <w:tcW w:w="936" w:type="pct"/>
            <w:tcBorders>
              <w:top w:val="nil"/>
              <w:left w:val="nil"/>
              <w:bottom w:val="nil"/>
              <w:right w:val="nil"/>
            </w:tcBorders>
            <w:noWrap/>
            <w:vAlign w:val="center"/>
            <w:hideMark/>
          </w:tcPr>
          <w:p w14:paraId="696D6115"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color w:val="000000"/>
                <w:sz w:val="20"/>
                <w:szCs w:val="20"/>
              </w:rPr>
              <w:t>120,798,773.77</w:t>
            </w:r>
          </w:p>
        </w:tc>
        <w:tc>
          <w:tcPr>
            <w:tcW w:w="556" w:type="pct"/>
            <w:tcBorders>
              <w:top w:val="nil"/>
              <w:left w:val="nil"/>
              <w:bottom w:val="nil"/>
              <w:right w:val="nil"/>
            </w:tcBorders>
            <w:noWrap/>
            <w:vAlign w:val="center"/>
            <w:hideMark/>
          </w:tcPr>
          <w:p w14:paraId="243242B0"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b/>
                <w:bCs/>
                <w:color w:val="000000"/>
                <w:sz w:val="20"/>
                <w:szCs w:val="20"/>
              </w:rPr>
              <w:t>73%</w:t>
            </w:r>
          </w:p>
        </w:tc>
      </w:tr>
      <w:tr w:rsidR="00FD7BCC" w:rsidRPr="005732FC" w14:paraId="77EEBCC8" w14:textId="77777777" w:rsidTr="008C77A6">
        <w:trPr>
          <w:trHeight w:val="20"/>
        </w:trPr>
        <w:tc>
          <w:tcPr>
            <w:tcW w:w="2725" w:type="pct"/>
            <w:tcBorders>
              <w:top w:val="nil"/>
              <w:left w:val="nil"/>
              <w:bottom w:val="single" w:sz="8" w:space="0" w:color="auto"/>
              <w:right w:val="nil"/>
            </w:tcBorders>
            <w:vAlign w:val="center"/>
            <w:hideMark/>
          </w:tcPr>
          <w:p w14:paraId="0E46F405" w14:textId="77777777" w:rsidR="00FD7BCC" w:rsidRPr="005732FC" w:rsidRDefault="00FD7BCC" w:rsidP="008C77A6">
            <w:pPr>
              <w:pStyle w:val="Sinespaciado"/>
              <w:rPr>
                <w:rFonts w:ascii="Arial" w:hAnsi="Arial" w:cs="Arial"/>
                <w:sz w:val="20"/>
                <w:szCs w:val="20"/>
                <w:lang w:eastAsia="es-MX"/>
              </w:rPr>
            </w:pPr>
            <w:r w:rsidRPr="005732FC">
              <w:rPr>
                <w:rFonts w:ascii="Arial" w:hAnsi="Arial" w:cs="Arial"/>
                <w:sz w:val="20"/>
                <w:szCs w:val="20"/>
                <w:lang w:eastAsia="es-MX"/>
              </w:rPr>
              <w:t>85.Transferencias, Asignaciones, Subsidios y Subvenciones y Pensiones y Jubilaciones</w:t>
            </w:r>
          </w:p>
        </w:tc>
        <w:tc>
          <w:tcPr>
            <w:tcW w:w="783" w:type="pct"/>
            <w:tcBorders>
              <w:top w:val="nil"/>
              <w:left w:val="nil"/>
              <w:bottom w:val="single" w:sz="8" w:space="0" w:color="auto"/>
              <w:right w:val="nil"/>
            </w:tcBorders>
            <w:vAlign w:val="center"/>
            <w:hideMark/>
          </w:tcPr>
          <w:p w14:paraId="530C2AC6"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0.00</w:t>
            </w:r>
          </w:p>
        </w:tc>
        <w:tc>
          <w:tcPr>
            <w:tcW w:w="936" w:type="pct"/>
            <w:tcBorders>
              <w:top w:val="nil"/>
              <w:left w:val="nil"/>
              <w:bottom w:val="single" w:sz="8" w:space="0" w:color="auto"/>
              <w:right w:val="nil"/>
            </w:tcBorders>
            <w:vAlign w:val="center"/>
            <w:hideMark/>
          </w:tcPr>
          <w:p w14:paraId="14D1C84C"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0.00</w:t>
            </w:r>
          </w:p>
        </w:tc>
        <w:tc>
          <w:tcPr>
            <w:tcW w:w="556" w:type="pct"/>
            <w:tcBorders>
              <w:top w:val="nil"/>
              <w:left w:val="nil"/>
              <w:bottom w:val="single" w:sz="8" w:space="0" w:color="auto"/>
              <w:right w:val="nil"/>
            </w:tcBorders>
            <w:vAlign w:val="center"/>
            <w:hideMark/>
          </w:tcPr>
          <w:p w14:paraId="4EFDC155" w14:textId="77777777" w:rsidR="00FD7BCC" w:rsidRPr="005732FC" w:rsidRDefault="00FD7BCC" w:rsidP="008C77A6">
            <w:pPr>
              <w:pStyle w:val="Sinespaciado"/>
              <w:jc w:val="right"/>
              <w:rPr>
                <w:rFonts w:ascii="Arial" w:hAnsi="Arial" w:cs="Arial"/>
                <w:sz w:val="20"/>
                <w:szCs w:val="20"/>
                <w:lang w:eastAsia="es-MX"/>
              </w:rPr>
            </w:pPr>
            <w:r w:rsidRPr="005732FC">
              <w:rPr>
                <w:rFonts w:ascii="Arial" w:hAnsi="Arial" w:cs="Arial"/>
                <w:sz w:val="20"/>
                <w:szCs w:val="20"/>
                <w:lang w:eastAsia="es-MX"/>
              </w:rPr>
              <w:t>0%</w:t>
            </w:r>
          </w:p>
        </w:tc>
      </w:tr>
    </w:tbl>
    <w:p w14:paraId="2F2590E3" w14:textId="77777777" w:rsidR="00DD5D6F" w:rsidRPr="005732FC" w:rsidRDefault="00DD5D6F" w:rsidP="00DD5D6F">
      <w:pPr>
        <w:spacing w:after="0"/>
        <w:jc w:val="both"/>
        <w:rPr>
          <w:rFonts w:ascii="Arial" w:hAnsi="Arial" w:cs="Arial"/>
          <w:sz w:val="20"/>
          <w:szCs w:val="20"/>
        </w:rPr>
      </w:pPr>
    </w:p>
    <w:p w14:paraId="526CB355" w14:textId="54075802" w:rsidR="000C6255" w:rsidRPr="005732FC" w:rsidRDefault="000C6255" w:rsidP="008A2B96">
      <w:pPr>
        <w:pStyle w:val="Ttulo2"/>
        <w:numPr>
          <w:ilvl w:val="0"/>
          <w:numId w:val="38"/>
        </w:numPr>
        <w:spacing w:before="0"/>
        <w:rPr>
          <w:rFonts w:ascii="Arial" w:hAnsi="Arial" w:cs="Arial"/>
          <w:b/>
          <w:bCs/>
          <w:sz w:val="20"/>
          <w:szCs w:val="20"/>
        </w:rPr>
      </w:pPr>
      <w:r w:rsidRPr="005732FC">
        <w:rPr>
          <w:rFonts w:ascii="Arial" w:hAnsi="Arial" w:cs="Arial"/>
          <w:b/>
          <w:bCs/>
          <w:sz w:val="20"/>
          <w:szCs w:val="20"/>
        </w:rPr>
        <w:t>Proyección de la recaudación.</w:t>
      </w:r>
    </w:p>
    <w:p w14:paraId="3862F554" w14:textId="77777777" w:rsidR="001020A8" w:rsidRPr="005732FC" w:rsidRDefault="001020A8" w:rsidP="0098459F">
      <w:pPr>
        <w:jc w:val="both"/>
        <w:rPr>
          <w:rFonts w:ascii="Arial" w:hAnsi="Arial" w:cs="Arial"/>
          <w:sz w:val="20"/>
          <w:szCs w:val="20"/>
        </w:rPr>
      </w:pPr>
    </w:p>
    <w:p w14:paraId="7DCB2B22" w14:textId="0ACEBE30" w:rsidR="0098459F" w:rsidRPr="005732FC" w:rsidRDefault="0098459F" w:rsidP="0098459F">
      <w:pPr>
        <w:jc w:val="both"/>
        <w:rPr>
          <w:rFonts w:ascii="Arial" w:hAnsi="Arial" w:cs="Arial"/>
          <w:sz w:val="20"/>
          <w:szCs w:val="20"/>
        </w:rPr>
      </w:pPr>
      <w:r w:rsidRPr="005732FC">
        <w:rPr>
          <w:rFonts w:ascii="Arial" w:hAnsi="Arial" w:cs="Arial"/>
          <w:sz w:val="20"/>
          <w:szCs w:val="20"/>
        </w:rPr>
        <w:t>A continuación, se presenta las proyecciones de recaudación por rubro de ingresos para el ejercicio fiscal 2025, de manera trimestral:</w:t>
      </w:r>
      <w:r w:rsidRPr="005732FC">
        <w:fldChar w:fldCharType="begin"/>
      </w:r>
      <w:r w:rsidRPr="005732FC">
        <w:instrText xml:space="preserve"> LINK Excel.SheetMacroEnabled.12 "Libro1" "Hoja2!F1C1:F9C6" \a \f 4 \h  \* MERGEFORMAT </w:instrText>
      </w:r>
      <w:r w:rsidRPr="005732FC">
        <w:fldChar w:fldCharType="separate"/>
      </w:r>
    </w:p>
    <w:p w14:paraId="7ACF4D08" w14:textId="7642A1AC" w:rsidR="0098459F" w:rsidRPr="005732FC" w:rsidRDefault="0098459F" w:rsidP="0098459F">
      <w:pPr>
        <w:jc w:val="both"/>
        <w:rPr>
          <w:rFonts w:ascii="Arial" w:hAnsi="Arial" w:cs="Arial"/>
          <w:sz w:val="20"/>
          <w:szCs w:val="20"/>
        </w:rPr>
      </w:pPr>
      <w:r w:rsidRPr="005732FC">
        <w:fldChar w:fldCharType="end"/>
      </w:r>
    </w:p>
    <w:tbl>
      <w:tblPr>
        <w:tblpPr w:leftFromText="141" w:rightFromText="141" w:vertAnchor="text" w:tblpY="-51"/>
        <w:tblW w:w="0" w:type="auto"/>
        <w:tblCellMar>
          <w:left w:w="70" w:type="dxa"/>
          <w:right w:w="70" w:type="dxa"/>
        </w:tblCellMar>
        <w:tblLook w:val="04A0" w:firstRow="1" w:lastRow="0" w:firstColumn="1" w:lastColumn="0" w:noHBand="0" w:noVBand="1"/>
      </w:tblPr>
      <w:tblGrid>
        <w:gridCol w:w="3418"/>
        <w:gridCol w:w="1809"/>
        <w:gridCol w:w="146"/>
        <w:gridCol w:w="1809"/>
        <w:gridCol w:w="1809"/>
        <w:gridCol w:w="1809"/>
      </w:tblGrid>
      <w:tr w:rsidR="0098459F" w:rsidRPr="005732FC" w14:paraId="5E7A418D" w14:textId="77777777" w:rsidTr="0098459F">
        <w:trPr>
          <w:trHeight w:val="255"/>
          <w:tblHeader/>
        </w:trPr>
        <w:tc>
          <w:tcPr>
            <w:tcW w:w="0" w:type="auto"/>
            <w:tcBorders>
              <w:top w:val="single" w:sz="4" w:space="0" w:color="000000"/>
              <w:bottom w:val="single" w:sz="4" w:space="0" w:color="000000"/>
              <w:right w:val="single" w:sz="4" w:space="0" w:color="000000"/>
            </w:tcBorders>
            <w:shd w:val="clear" w:color="000000" w:fill="BFBFBF"/>
            <w:vAlign w:val="bottom"/>
            <w:hideMark/>
          </w:tcPr>
          <w:p w14:paraId="726A188B" w14:textId="0D1BE5FB" w:rsidR="0098459F" w:rsidRPr="005732FC" w:rsidRDefault="00E3362C" w:rsidP="0098459F">
            <w:pPr>
              <w:spacing w:after="0" w:line="240" w:lineRule="auto"/>
              <w:jc w:val="center"/>
              <w:rPr>
                <w:rFonts w:ascii="Arial" w:eastAsia="Times New Roman" w:hAnsi="Arial" w:cs="Arial"/>
                <w:b/>
                <w:bCs/>
                <w:kern w:val="0"/>
                <w:sz w:val="20"/>
                <w:szCs w:val="20"/>
                <w:lang w:eastAsia="es-MX"/>
                <w14:ligatures w14:val="none"/>
              </w:rPr>
            </w:pPr>
            <w:r w:rsidRPr="005732FC">
              <w:rPr>
                <w:rFonts w:ascii="Arial" w:eastAsia="Times New Roman" w:hAnsi="Arial" w:cs="Arial"/>
                <w:b/>
                <w:bCs/>
                <w:kern w:val="0"/>
                <w:sz w:val="20"/>
                <w:szCs w:val="20"/>
                <w:lang w:eastAsia="es-MX"/>
                <w14:ligatures w14:val="none"/>
              </w:rPr>
              <w:lastRenderedPageBreak/>
              <w:t>C</w:t>
            </w:r>
            <w:r w:rsidR="0098459F" w:rsidRPr="005732FC">
              <w:rPr>
                <w:rFonts w:ascii="Arial" w:eastAsia="Times New Roman" w:hAnsi="Arial" w:cs="Arial"/>
                <w:b/>
                <w:bCs/>
                <w:kern w:val="0"/>
                <w:sz w:val="20"/>
                <w:szCs w:val="20"/>
                <w:lang w:eastAsia="es-MX"/>
                <w14:ligatures w14:val="none"/>
              </w:rPr>
              <w:t>oncepto</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6B3C7877" w14:textId="3261D7C5" w:rsidR="0098459F" w:rsidRPr="005732FC" w:rsidRDefault="0098459F" w:rsidP="0098459F">
            <w:pPr>
              <w:spacing w:after="0" w:line="240" w:lineRule="auto"/>
              <w:jc w:val="center"/>
              <w:rPr>
                <w:rFonts w:ascii="Arial" w:eastAsia="Times New Roman" w:hAnsi="Arial" w:cs="Arial"/>
                <w:b/>
                <w:bCs/>
                <w:kern w:val="0"/>
                <w:sz w:val="20"/>
                <w:szCs w:val="20"/>
                <w:lang w:eastAsia="es-MX"/>
                <w14:ligatures w14:val="none"/>
              </w:rPr>
            </w:pPr>
            <w:r w:rsidRPr="005732FC">
              <w:rPr>
                <w:rFonts w:ascii="Arial" w:eastAsia="Times New Roman" w:hAnsi="Arial" w:cs="Arial"/>
                <w:b/>
                <w:bCs/>
                <w:kern w:val="0"/>
                <w:sz w:val="20"/>
                <w:szCs w:val="20"/>
                <w:lang w:eastAsia="es-MX"/>
                <w14:ligatures w14:val="none"/>
              </w:rPr>
              <w:t>1T 202</w:t>
            </w:r>
            <w:r w:rsidR="00E3362C" w:rsidRPr="005732FC">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right w:val="nil"/>
            </w:tcBorders>
            <w:shd w:val="clear" w:color="000000" w:fill="BFBFBF"/>
          </w:tcPr>
          <w:p w14:paraId="09E663B2" w14:textId="77777777" w:rsidR="0098459F" w:rsidRPr="005732FC" w:rsidRDefault="0098459F" w:rsidP="0098459F">
            <w:pPr>
              <w:spacing w:after="0" w:line="240" w:lineRule="auto"/>
              <w:jc w:val="center"/>
              <w:rPr>
                <w:rFonts w:ascii="Arial" w:eastAsia="Times New Roman" w:hAnsi="Arial" w:cs="Arial"/>
                <w:b/>
                <w:bCs/>
                <w:kern w:val="0"/>
                <w:sz w:val="20"/>
                <w:szCs w:val="20"/>
                <w:lang w:eastAsia="es-MX"/>
                <w14:ligatures w14:val="none"/>
              </w:rPr>
            </w:pP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668B5DE2" w14:textId="73043423" w:rsidR="0098459F" w:rsidRPr="005732FC" w:rsidRDefault="0098459F" w:rsidP="0098459F">
            <w:pPr>
              <w:spacing w:after="0" w:line="240" w:lineRule="auto"/>
              <w:jc w:val="center"/>
              <w:rPr>
                <w:rFonts w:ascii="Arial" w:eastAsia="Times New Roman" w:hAnsi="Arial" w:cs="Arial"/>
                <w:b/>
                <w:bCs/>
                <w:kern w:val="0"/>
                <w:sz w:val="20"/>
                <w:szCs w:val="20"/>
                <w:lang w:eastAsia="es-MX"/>
                <w14:ligatures w14:val="none"/>
              </w:rPr>
            </w:pPr>
            <w:r w:rsidRPr="005732FC">
              <w:rPr>
                <w:rFonts w:ascii="Arial" w:eastAsia="Times New Roman" w:hAnsi="Arial" w:cs="Arial"/>
                <w:b/>
                <w:bCs/>
                <w:kern w:val="0"/>
                <w:sz w:val="20"/>
                <w:szCs w:val="20"/>
                <w:lang w:eastAsia="es-MX"/>
                <w14:ligatures w14:val="none"/>
              </w:rPr>
              <w:t>2T 202</w:t>
            </w:r>
            <w:r w:rsidR="00E3362C" w:rsidRPr="005732FC">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0B9D861D" w14:textId="571D8C80" w:rsidR="0098459F" w:rsidRPr="005732FC" w:rsidRDefault="0098459F" w:rsidP="0098459F">
            <w:pPr>
              <w:spacing w:after="0" w:line="240" w:lineRule="auto"/>
              <w:jc w:val="center"/>
              <w:rPr>
                <w:rFonts w:ascii="Arial" w:eastAsia="Times New Roman" w:hAnsi="Arial" w:cs="Arial"/>
                <w:b/>
                <w:bCs/>
                <w:kern w:val="0"/>
                <w:sz w:val="20"/>
                <w:szCs w:val="20"/>
                <w:lang w:eastAsia="es-MX"/>
                <w14:ligatures w14:val="none"/>
              </w:rPr>
            </w:pPr>
            <w:r w:rsidRPr="005732FC">
              <w:rPr>
                <w:rFonts w:ascii="Arial" w:eastAsia="Times New Roman" w:hAnsi="Arial" w:cs="Arial"/>
                <w:b/>
                <w:bCs/>
                <w:kern w:val="0"/>
                <w:sz w:val="20"/>
                <w:szCs w:val="20"/>
                <w:lang w:eastAsia="es-MX"/>
                <w14:ligatures w14:val="none"/>
              </w:rPr>
              <w:t>3T 202</w:t>
            </w:r>
            <w:r w:rsidR="00E3362C" w:rsidRPr="005732FC">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tcBorders>
            <w:shd w:val="clear" w:color="000000" w:fill="BFBFBF"/>
            <w:vAlign w:val="bottom"/>
            <w:hideMark/>
          </w:tcPr>
          <w:p w14:paraId="352EC64D" w14:textId="649DC232" w:rsidR="0098459F" w:rsidRPr="005732FC" w:rsidRDefault="0098459F" w:rsidP="0098459F">
            <w:pPr>
              <w:spacing w:after="0" w:line="240" w:lineRule="auto"/>
              <w:jc w:val="center"/>
              <w:rPr>
                <w:rFonts w:ascii="Arial" w:eastAsia="Times New Roman" w:hAnsi="Arial" w:cs="Arial"/>
                <w:b/>
                <w:bCs/>
                <w:kern w:val="0"/>
                <w:sz w:val="20"/>
                <w:szCs w:val="20"/>
                <w:lang w:eastAsia="es-MX"/>
                <w14:ligatures w14:val="none"/>
              </w:rPr>
            </w:pPr>
            <w:r w:rsidRPr="005732FC">
              <w:rPr>
                <w:rFonts w:ascii="Arial" w:eastAsia="Times New Roman" w:hAnsi="Arial" w:cs="Arial"/>
                <w:b/>
                <w:bCs/>
                <w:kern w:val="0"/>
                <w:sz w:val="20"/>
                <w:szCs w:val="20"/>
                <w:lang w:eastAsia="es-MX"/>
                <w14:ligatures w14:val="none"/>
              </w:rPr>
              <w:t>4T 202</w:t>
            </w:r>
            <w:r w:rsidR="00E3362C" w:rsidRPr="005732FC">
              <w:rPr>
                <w:rFonts w:ascii="Arial" w:eastAsia="Times New Roman" w:hAnsi="Arial" w:cs="Arial"/>
                <w:b/>
                <w:bCs/>
                <w:kern w:val="0"/>
                <w:sz w:val="20"/>
                <w:szCs w:val="20"/>
                <w:lang w:eastAsia="es-MX"/>
                <w14:ligatures w14:val="none"/>
              </w:rPr>
              <w:t>5</w:t>
            </w:r>
          </w:p>
        </w:tc>
      </w:tr>
      <w:tr w:rsidR="0098459F" w:rsidRPr="005732FC" w14:paraId="74408F19" w14:textId="77777777" w:rsidTr="0098459F">
        <w:trPr>
          <w:trHeight w:val="255"/>
        </w:trPr>
        <w:tc>
          <w:tcPr>
            <w:tcW w:w="0" w:type="auto"/>
            <w:tcBorders>
              <w:top w:val="single" w:sz="4" w:space="0" w:color="000000"/>
              <w:bottom w:val="single" w:sz="4" w:space="0" w:color="000000"/>
              <w:right w:val="single" w:sz="4" w:space="0" w:color="000000"/>
            </w:tcBorders>
            <w:shd w:val="clear" w:color="000000" w:fill="BFBFBF"/>
            <w:vAlign w:val="bottom"/>
            <w:hideMark/>
          </w:tcPr>
          <w:p w14:paraId="1331A64D" w14:textId="77777777" w:rsidR="0098459F" w:rsidRPr="005732FC" w:rsidRDefault="0098459F" w:rsidP="0098459F">
            <w:pPr>
              <w:spacing w:after="0" w:line="240" w:lineRule="auto"/>
              <w:rPr>
                <w:rFonts w:ascii="Arial" w:eastAsia="Times New Roman" w:hAnsi="Arial" w:cs="Arial"/>
                <w:b/>
                <w:bCs/>
                <w:kern w:val="0"/>
                <w:sz w:val="20"/>
                <w:szCs w:val="20"/>
                <w:lang w:eastAsia="es-MX"/>
                <w14:ligatures w14:val="none"/>
              </w:rPr>
            </w:pPr>
            <w:r w:rsidRPr="005732FC">
              <w:rPr>
                <w:rFonts w:ascii="Arial" w:eastAsia="Times New Roman" w:hAnsi="Arial" w:cs="Arial"/>
                <w:b/>
                <w:bCs/>
                <w:kern w:val="0"/>
                <w:sz w:val="20"/>
                <w:szCs w:val="20"/>
                <w:lang w:eastAsia="es-MX"/>
                <w14:ligatures w14:val="none"/>
              </w:rPr>
              <w:t>Ingresos totales</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72C596E9" w14:textId="77777777" w:rsidR="0098459F" w:rsidRPr="005732FC" w:rsidRDefault="0098459F" w:rsidP="0098459F">
            <w:pPr>
              <w:spacing w:after="0" w:line="240" w:lineRule="auto"/>
              <w:jc w:val="right"/>
              <w:rPr>
                <w:rFonts w:ascii="Arial" w:eastAsia="Times New Roman" w:hAnsi="Arial" w:cs="Arial"/>
                <w:b/>
                <w:bCs/>
                <w:kern w:val="0"/>
                <w:sz w:val="20"/>
                <w:szCs w:val="20"/>
                <w:lang w:eastAsia="es-MX"/>
                <w14:ligatures w14:val="none"/>
              </w:rPr>
            </w:pPr>
            <w:r w:rsidRPr="005732FC">
              <w:rPr>
                <w:rFonts w:ascii="Arial" w:eastAsia="Times New Roman" w:hAnsi="Arial" w:cs="Arial"/>
                <w:b/>
                <w:bCs/>
                <w:kern w:val="0"/>
                <w:sz w:val="20"/>
                <w:szCs w:val="20"/>
                <w:lang w:eastAsia="es-MX"/>
                <w14:ligatures w14:val="none"/>
              </w:rPr>
              <w:t>$2,616,048,011.00</w:t>
            </w:r>
          </w:p>
        </w:tc>
        <w:tc>
          <w:tcPr>
            <w:tcW w:w="0" w:type="auto"/>
            <w:tcBorders>
              <w:top w:val="single" w:sz="4" w:space="0" w:color="000000"/>
              <w:left w:val="nil"/>
              <w:bottom w:val="single" w:sz="4" w:space="0" w:color="000000"/>
              <w:right w:val="nil"/>
            </w:tcBorders>
            <w:shd w:val="clear" w:color="000000" w:fill="BFBFBF"/>
          </w:tcPr>
          <w:p w14:paraId="213B58AA" w14:textId="77777777" w:rsidR="0098459F" w:rsidRPr="005732FC" w:rsidRDefault="0098459F" w:rsidP="0098459F">
            <w:pPr>
              <w:spacing w:after="0" w:line="240" w:lineRule="auto"/>
              <w:jc w:val="right"/>
              <w:rPr>
                <w:rFonts w:ascii="Arial" w:eastAsia="Times New Roman" w:hAnsi="Arial" w:cs="Arial"/>
                <w:b/>
                <w:bCs/>
                <w:kern w:val="0"/>
                <w:sz w:val="20"/>
                <w:szCs w:val="20"/>
                <w:lang w:eastAsia="es-MX"/>
                <w14:ligatures w14:val="none"/>
              </w:rPr>
            </w:pP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7CC53A83" w14:textId="77777777" w:rsidR="0098459F" w:rsidRPr="005732FC" w:rsidRDefault="0098459F" w:rsidP="0098459F">
            <w:pPr>
              <w:spacing w:after="0" w:line="240" w:lineRule="auto"/>
              <w:jc w:val="right"/>
              <w:rPr>
                <w:rFonts w:ascii="Arial" w:eastAsia="Times New Roman" w:hAnsi="Arial" w:cs="Arial"/>
                <w:b/>
                <w:bCs/>
                <w:kern w:val="0"/>
                <w:sz w:val="20"/>
                <w:szCs w:val="20"/>
                <w:lang w:eastAsia="es-MX"/>
                <w14:ligatures w14:val="none"/>
              </w:rPr>
            </w:pPr>
            <w:r w:rsidRPr="005732FC">
              <w:rPr>
                <w:rFonts w:ascii="Arial" w:eastAsia="Times New Roman" w:hAnsi="Arial" w:cs="Arial"/>
                <w:b/>
                <w:bCs/>
                <w:kern w:val="0"/>
                <w:sz w:val="20"/>
                <w:szCs w:val="20"/>
                <w:lang w:eastAsia="es-MX"/>
                <w14:ligatures w14:val="none"/>
              </w:rPr>
              <w:t>$1,777,367,733.00</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35629BBE" w14:textId="77777777" w:rsidR="0098459F" w:rsidRPr="005732FC" w:rsidRDefault="0098459F" w:rsidP="0098459F">
            <w:pPr>
              <w:spacing w:after="0" w:line="240" w:lineRule="auto"/>
              <w:jc w:val="right"/>
              <w:rPr>
                <w:rFonts w:ascii="Arial" w:eastAsia="Times New Roman" w:hAnsi="Arial" w:cs="Arial"/>
                <w:b/>
                <w:bCs/>
                <w:kern w:val="0"/>
                <w:sz w:val="20"/>
                <w:szCs w:val="20"/>
                <w:lang w:eastAsia="es-MX"/>
                <w14:ligatures w14:val="none"/>
              </w:rPr>
            </w:pPr>
            <w:r w:rsidRPr="005732FC">
              <w:rPr>
                <w:rFonts w:ascii="Arial" w:eastAsia="Times New Roman" w:hAnsi="Arial" w:cs="Arial"/>
                <w:b/>
                <w:bCs/>
                <w:kern w:val="0"/>
                <w:sz w:val="20"/>
                <w:szCs w:val="20"/>
                <w:lang w:eastAsia="es-MX"/>
                <w14:ligatures w14:val="none"/>
              </w:rPr>
              <w:t>$1,693,581,434.00</w:t>
            </w:r>
          </w:p>
        </w:tc>
        <w:tc>
          <w:tcPr>
            <w:tcW w:w="0" w:type="auto"/>
            <w:tcBorders>
              <w:top w:val="single" w:sz="4" w:space="0" w:color="000000"/>
              <w:left w:val="nil"/>
              <w:bottom w:val="single" w:sz="4" w:space="0" w:color="000000"/>
            </w:tcBorders>
            <w:shd w:val="clear" w:color="000000" w:fill="BFBFBF"/>
            <w:vAlign w:val="bottom"/>
            <w:hideMark/>
          </w:tcPr>
          <w:p w14:paraId="22FD8E15" w14:textId="77777777" w:rsidR="0098459F" w:rsidRPr="005732FC" w:rsidRDefault="0098459F" w:rsidP="0098459F">
            <w:pPr>
              <w:spacing w:after="0" w:line="240" w:lineRule="auto"/>
              <w:jc w:val="right"/>
              <w:rPr>
                <w:rFonts w:ascii="Arial" w:eastAsia="Times New Roman" w:hAnsi="Arial" w:cs="Arial"/>
                <w:b/>
                <w:bCs/>
                <w:kern w:val="0"/>
                <w:sz w:val="20"/>
                <w:szCs w:val="20"/>
                <w:lang w:eastAsia="es-MX"/>
                <w14:ligatures w14:val="none"/>
              </w:rPr>
            </w:pPr>
            <w:r w:rsidRPr="005732FC">
              <w:rPr>
                <w:rFonts w:ascii="Arial" w:eastAsia="Times New Roman" w:hAnsi="Arial" w:cs="Arial"/>
                <w:b/>
                <w:bCs/>
                <w:kern w:val="0"/>
                <w:sz w:val="20"/>
                <w:szCs w:val="20"/>
                <w:lang w:eastAsia="es-MX"/>
                <w14:ligatures w14:val="none"/>
              </w:rPr>
              <w:t>$1,549,382,510.00</w:t>
            </w:r>
          </w:p>
        </w:tc>
      </w:tr>
      <w:tr w:rsidR="0098459F" w:rsidRPr="005732FC" w14:paraId="283207EF" w14:textId="77777777" w:rsidTr="00ED6163">
        <w:trPr>
          <w:trHeight w:val="255"/>
        </w:trPr>
        <w:tc>
          <w:tcPr>
            <w:tcW w:w="0" w:type="auto"/>
            <w:tcBorders>
              <w:top w:val="single" w:sz="4" w:space="0" w:color="000000"/>
              <w:right w:val="single" w:sz="4" w:space="0" w:color="000000"/>
            </w:tcBorders>
            <w:shd w:val="clear" w:color="auto" w:fill="auto"/>
            <w:vAlign w:val="bottom"/>
            <w:hideMark/>
          </w:tcPr>
          <w:p w14:paraId="6BBE9942" w14:textId="77777777" w:rsidR="0098459F" w:rsidRPr="005732FC" w:rsidRDefault="0098459F" w:rsidP="0098459F">
            <w:pPr>
              <w:spacing w:after="0" w:line="240" w:lineRule="auto"/>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Impuestos                               </w:t>
            </w:r>
          </w:p>
        </w:tc>
        <w:tc>
          <w:tcPr>
            <w:tcW w:w="0" w:type="auto"/>
            <w:tcBorders>
              <w:top w:val="single" w:sz="4" w:space="0" w:color="000000"/>
              <w:left w:val="nil"/>
              <w:right w:val="single" w:sz="4" w:space="0" w:color="000000"/>
            </w:tcBorders>
            <w:shd w:val="clear" w:color="auto" w:fill="auto"/>
            <w:vAlign w:val="center"/>
            <w:hideMark/>
          </w:tcPr>
          <w:p w14:paraId="0A0A5777"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1,059,206,875.00</w:t>
            </w:r>
          </w:p>
        </w:tc>
        <w:tc>
          <w:tcPr>
            <w:tcW w:w="0" w:type="auto"/>
            <w:tcBorders>
              <w:top w:val="single" w:sz="4" w:space="0" w:color="000000"/>
              <w:left w:val="nil"/>
              <w:right w:val="nil"/>
            </w:tcBorders>
            <w:shd w:val="clear" w:color="auto" w:fill="auto"/>
            <w:vAlign w:val="center"/>
          </w:tcPr>
          <w:p w14:paraId="49CA25A7"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single" w:sz="4" w:space="0" w:color="000000"/>
              <w:left w:val="nil"/>
              <w:right w:val="single" w:sz="4" w:space="0" w:color="000000"/>
            </w:tcBorders>
            <w:shd w:val="clear" w:color="auto" w:fill="auto"/>
            <w:vAlign w:val="center"/>
            <w:hideMark/>
          </w:tcPr>
          <w:p w14:paraId="6B136510"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403,360,004.00</w:t>
            </w:r>
          </w:p>
        </w:tc>
        <w:tc>
          <w:tcPr>
            <w:tcW w:w="0" w:type="auto"/>
            <w:tcBorders>
              <w:top w:val="single" w:sz="4" w:space="0" w:color="000000"/>
              <w:left w:val="nil"/>
              <w:right w:val="single" w:sz="4" w:space="0" w:color="000000"/>
            </w:tcBorders>
            <w:shd w:val="clear" w:color="auto" w:fill="auto"/>
            <w:vAlign w:val="center"/>
            <w:hideMark/>
          </w:tcPr>
          <w:p w14:paraId="6218F825" w14:textId="270F8161"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381,025,324.00</w:t>
            </w:r>
          </w:p>
        </w:tc>
        <w:tc>
          <w:tcPr>
            <w:tcW w:w="0" w:type="auto"/>
            <w:tcBorders>
              <w:top w:val="single" w:sz="4" w:space="0" w:color="000000"/>
              <w:left w:val="nil"/>
            </w:tcBorders>
            <w:shd w:val="clear" w:color="auto" w:fill="auto"/>
            <w:vAlign w:val="center"/>
            <w:hideMark/>
          </w:tcPr>
          <w:p w14:paraId="72F47B7B" w14:textId="441E37CF"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435,961,925.00</w:t>
            </w:r>
          </w:p>
        </w:tc>
      </w:tr>
      <w:tr w:rsidR="0098459F" w:rsidRPr="005732FC" w14:paraId="76FE4F5C" w14:textId="77777777" w:rsidTr="00ED6163">
        <w:trPr>
          <w:trHeight w:val="255"/>
        </w:trPr>
        <w:tc>
          <w:tcPr>
            <w:tcW w:w="0" w:type="auto"/>
            <w:tcBorders>
              <w:top w:val="nil"/>
              <w:right w:val="single" w:sz="4" w:space="0" w:color="000000"/>
            </w:tcBorders>
            <w:shd w:val="clear" w:color="auto" w:fill="auto"/>
            <w:vAlign w:val="bottom"/>
            <w:hideMark/>
          </w:tcPr>
          <w:p w14:paraId="2267252E" w14:textId="77777777" w:rsidR="0098459F" w:rsidRPr="005732FC" w:rsidRDefault="0098459F" w:rsidP="0098459F">
            <w:pPr>
              <w:spacing w:after="0" w:line="240" w:lineRule="auto"/>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Derechos                                </w:t>
            </w:r>
          </w:p>
        </w:tc>
        <w:tc>
          <w:tcPr>
            <w:tcW w:w="0" w:type="auto"/>
            <w:tcBorders>
              <w:top w:val="nil"/>
              <w:left w:val="nil"/>
              <w:right w:val="single" w:sz="4" w:space="0" w:color="000000"/>
            </w:tcBorders>
            <w:shd w:val="clear" w:color="auto" w:fill="auto"/>
            <w:vAlign w:val="center"/>
            <w:hideMark/>
          </w:tcPr>
          <w:p w14:paraId="6A0A28E1"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 xml:space="preserve">687,805,777.00 </w:t>
            </w:r>
          </w:p>
        </w:tc>
        <w:tc>
          <w:tcPr>
            <w:tcW w:w="0" w:type="auto"/>
            <w:tcBorders>
              <w:top w:val="nil"/>
              <w:left w:val="nil"/>
              <w:right w:val="nil"/>
            </w:tcBorders>
            <w:shd w:val="clear" w:color="auto" w:fill="auto"/>
            <w:vAlign w:val="center"/>
          </w:tcPr>
          <w:p w14:paraId="22CF3168"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shd w:val="clear" w:color="auto" w:fill="auto"/>
            <w:vAlign w:val="center"/>
            <w:hideMark/>
          </w:tcPr>
          <w:p w14:paraId="01A72B51"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530,666,688.00</w:t>
            </w:r>
          </w:p>
        </w:tc>
        <w:tc>
          <w:tcPr>
            <w:tcW w:w="0" w:type="auto"/>
            <w:tcBorders>
              <w:top w:val="nil"/>
              <w:left w:val="nil"/>
              <w:right w:val="single" w:sz="4" w:space="0" w:color="000000"/>
            </w:tcBorders>
            <w:shd w:val="clear" w:color="auto" w:fill="auto"/>
            <w:vAlign w:val="center"/>
            <w:hideMark/>
          </w:tcPr>
          <w:p w14:paraId="05356F50" w14:textId="50A0BA55"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508,345,859.00</w:t>
            </w:r>
          </w:p>
        </w:tc>
        <w:tc>
          <w:tcPr>
            <w:tcW w:w="0" w:type="auto"/>
            <w:tcBorders>
              <w:top w:val="nil"/>
              <w:left w:val="nil"/>
            </w:tcBorders>
            <w:shd w:val="clear" w:color="auto" w:fill="auto"/>
            <w:vAlign w:val="center"/>
            <w:hideMark/>
          </w:tcPr>
          <w:p w14:paraId="6DFBFBF8" w14:textId="0A1F93E3"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469,711,418.00</w:t>
            </w:r>
          </w:p>
        </w:tc>
      </w:tr>
      <w:tr w:rsidR="0098459F" w:rsidRPr="005732FC" w14:paraId="1FFF78B5" w14:textId="77777777" w:rsidTr="00ED6163">
        <w:trPr>
          <w:trHeight w:val="255"/>
        </w:trPr>
        <w:tc>
          <w:tcPr>
            <w:tcW w:w="0" w:type="auto"/>
            <w:tcBorders>
              <w:top w:val="nil"/>
              <w:right w:val="single" w:sz="4" w:space="0" w:color="000000"/>
            </w:tcBorders>
            <w:shd w:val="clear" w:color="auto" w:fill="auto"/>
            <w:vAlign w:val="bottom"/>
            <w:hideMark/>
          </w:tcPr>
          <w:p w14:paraId="15377D87" w14:textId="77777777" w:rsidR="0098459F" w:rsidRPr="005732FC" w:rsidRDefault="0098459F" w:rsidP="0098459F">
            <w:pPr>
              <w:spacing w:after="0" w:line="240" w:lineRule="auto"/>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Productos                               </w:t>
            </w:r>
          </w:p>
        </w:tc>
        <w:tc>
          <w:tcPr>
            <w:tcW w:w="0" w:type="auto"/>
            <w:tcBorders>
              <w:top w:val="nil"/>
              <w:left w:val="nil"/>
              <w:right w:val="single" w:sz="4" w:space="0" w:color="000000"/>
            </w:tcBorders>
            <w:shd w:val="clear" w:color="auto" w:fill="auto"/>
            <w:vAlign w:val="center"/>
            <w:hideMark/>
          </w:tcPr>
          <w:p w14:paraId="0CD75653"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 xml:space="preserve">18,972,128.00 </w:t>
            </w:r>
          </w:p>
        </w:tc>
        <w:tc>
          <w:tcPr>
            <w:tcW w:w="0" w:type="auto"/>
            <w:tcBorders>
              <w:top w:val="nil"/>
              <w:left w:val="nil"/>
              <w:right w:val="nil"/>
            </w:tcBorders>
            <w:shd w:val="clear" w:color="auto" w:fill="auto"/>
            <w:vAlign w:val="center"/>
          </w:tcPr>
          <w:p w14:paraId="3C175D0F"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shd w:val="clear" w:color="auto" w:fill="auto"/>
            <w:vAlign w:val="center"/>
            <w:hideMark/>
          </w:tcPr>
          <w:p w14:paraId="6759D70C"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17,703,385.00</w:t>
            </w:r>
          </w:p>
        </w:tc>
        <w:tc>
          <w:tcPr>
            <w:tcW w:w="0" w:type="auto"/>
            <w:tcBorders>
              <w:top w:val="nil"/>
              <w:left w:val="nil"/>
              <w:right w:val="single" w:sz="4" w:space="0" w:color="000000"/>
            </w:tcBorders>
            <w:shd w:val="clear" w:color="auto" w:fill="auto"/>
            <w:vAlign w:val="center"/>
            <w:hideMark/>
          </w:tcPr>
          <w:p w14:paraId="7C9BD5F3" w14:textId="0BD97EA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34,262,695.00</w:t>
            </w:r>
          </w:p>
        </w:tc>
        <w:tc>
          <w:tcPr>
            <w:tcW w:w="0" w:type="auto"/>
            <w:tcBorders>
              <w:top w:val="nil"/>
              <w:left w:val="nil"/>
            </w:tcBorders>
            <w:shd w:val="clear" w:color="auto" w:fill="auto"/>
            <w:vAlign w:val="center"/>
            <w:hideMark/>
          </w:tcPr>
          <w:p w14:paraId="016BCF61" w14:textId="238F3D44"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12,431,273.00</w:t>
            </w:r>
          </w:p>
        </w:tc>
      </w:tr>
      <w:tr w:rsidR="0098459F" w:rsidRPr="005732FC" w14:paraId="47AB3246" w14:textId="77777777" w:rsidTr="00ED6163">
        <w:trPr>
          <w:trHeight w:val="255"/>
        </w:trPr>
        <w:tc>
          <w:tcPr>
            <w:tcW w:w="0" w:type="auto"/>
            <w:tcBorders>
              <w:top w:val="nil"/>
              <w:right w:val="single" w:sz="4" w:space="0" w:color="000000"/>
            </w:tcBorders>
            <w:shd w:val="clear" w:color="auto" w:fill="auto"/>
            <w:vAlign w:val="bottom"/>
            <w:hideMark/>
          </w:tcPr>
          <w:p w14:paraId="26C681A3" w14:textId="77777777" w:rsidR="0098459F" w:rsidRPr="005732FC" w:rsidRDefault="0098459F" w:rsidP="0098459F">
            <w:pPr>
              <w:spacing w:after="0" w:line="240" w:lineRule="auto"/>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Aprovechamientos                        </w:t>
            </w:r>
          </w:p>
        </w:tc>
        <w:tc>
          <w:tcPr>
            <w:tcW w:w="0" w:type="auto"/>
            <w:tcBorders>
              <w:top w:val="nil"/>
              <w:left w:val="nil"/>
              <w:right w:val="single" w:sz="4" w:space="0" w:color="000000"/>
            </w:tcBorders>
            <w:shd w:val="clear" w:color="auto" w:fill="auto"/>
            <w:vAlign w:val="center"/>
            <w:hideMark/>
          </w:tcPr>
          <w:p w14:paraId="28680CF1"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 xml:space="preserve">29,444,395.00 </w:t>
            </w:r>
          </w:p>
        </w:tc>
        <w:tc>
          <w:tcPr>
            <w:tcW w:w="0" w:type="auto"/>
            <w:tcBorders>
              <w:top w:val="nil"/>
              <w:left w:val="nil"/>
              <w:right w:val="nil"/>
            </w:tcBorders>
            <w:shd w:val="clear" w:color="auto" w:fill="auto"/>
            <w:vAlign w:val="center"/>
          </w:tcPr>
          <w:p w14:paraId="3AC536A8"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shd w:val="clear" w:color="auto" w:fill="auto"/>
            <w:vAlign w:val="center"/>
            <w:hideMark/>
          </w:tcPr>
          <w:p w14:paraId="3ACE9699"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44,565,831.00</w:t>
            </w:r>
          </w:p>
        </w:tc>
        <w:tc>
          <w:tcPr>
            <w:tcW w:w="0" w:type="auto"/>
            <w:tcBorders>
              <w:top w:val="nil"/>
              <w:left w:val="nil"/>
              <w:right w:val="single" w:sz="4" w:space="0" w:color="000000"/>
            </w:tcBorders>
            <w:shd w:val="clear" w:color="auto" w:fill="auto"/>
            <w:vAlign w:val="center"/>
            <w:hideMark/>
          </w:tcPr>
          <w:p w14:paraId="2274395C" w14:textId="0642193B"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47,704,844.00</w:t>
            </w:r>
          </w:p>
        </w:tc>
        <w:tc>
          <w:tcPr>
            <w:tcW w:w="0" w:type="auto"/>
            <w:tcBorders>
              <w:top w:val="nil"/>
              <w:left w:val="nil"/>
            </w:tcBorders>
            <w:shd w:val="clear" w:color="auto" w:fill="auto"/>
            <w:vAlign w:val="center"/>
            <w:hideMark/>
          </w:tcPr>
          <w:p w14:paraId="5FC946BA" w14:textId="2F35E952"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34,842,111.00</w:t>
            </w:r>
          </w:p>
        </w:tc>
      </w:tr>
      <w:tr w:rsidR="0098459F" w:rsidRPr="005732FC" w14:paraId="1584C1DF" w14:textId="77777777" w:rsidTr="00ED6163">
        <w:trPr>
          <w:trHeight w:val="255"/>
        </w:trPr>
        <w:tc>
          <w:tcPr>
            <w:tcW w:w="0" w:type="auto"/>
            <w:tcBorders>
              <w:top w:val="nil"/>
              <w:right w:val="single" w:sz="4" w:space="0" w:color="000000"/>
            </w:tcBorders>
            <w:shd w:val="clear" w:color="auto" w:fill="auto"/>
            <w:vAlign w:val="bottom"/>
            <w:hideMark/>
          </w:tcPr>
          <w:p w14:paraId="0DB48611" w14:textId="77777777" w:rsidR="0098459F" w:rsidRPr="005732FC" w:rsidRDefault="0098459F" w:rsidP="0098459F">
            <w:pPr>
              <w:spacing w:after="0" w:line="240" w:lineRule="auto"/>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Ingresos por ventas de bienes y servicio</w:t>
            </w:r>
          </w:p>
        </w:tc>
        <w:tc>
          <w:tcPr>
            <w:tcW w:w="0" w:type="auto"/>
            <w:tcBorders>
              <w:top w:val="nil"/>
              <w:left w:val="nil"/>
              <w:right w:val="single" w:sz="4" w:space="0" w:color="000000"/>
            </w:tcBorders>
            <w:shd w:val="clear" w:color="auto" w:fill="auto"/>
            <w:vAlign w:val="center"/>
            <w:hideMark/>
          </w:tcPr>
          <w:p w14:paraId="6187FD76"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0.00</w:t>
            </w:r>
          </w:p>
        </w:tc>
        <w:tc>
          <w:tcPr>
            <w:tcW w:w="0" w:type="auto"/>
            <w:tcBorders>
              <w:top w:val="nil"/>
              <w:left w:val="nil"/>
              <w:right w:val="nil"/>
            </w:tcBorders>
            <w:shd w:val="clear" w:color="auto" w:fill="auto"/>
            <w:vAlign w:val="center"/>
          </w:tcPr>
          <w:p w14:paraId="3913760E"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shd w:val="clear" w:color="auto" w:fill="auto"/>
            <w:vAlign w:val="center"/>
            <w:hideMark/>
          </w:tcPr>
          <w:p w14:paraId="3AA4B6ED"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0.00</w:t>
            </w:r>
          </w:p>
        </w:tc>
        <w:tc>
          <w:tcPr>
            <w:tcW w:w="0" w:type="auto"/>
            <w:tcBorders>
              <w:top w:val="nil"/>
              <w:left w:val="nil"/>
              <w:right w:val="single" w:sz="4" w:space="0" w:color="000000"/>
            </w:tcBorders>
            <w:shd w:val="clear" w:color="auto" w:fill="auto"/>
            <w:vAlign w:val="center"/>
            <w:hideMark/>
          </w:tcPr>
          <w:p w14:paraId="5C0A72A5"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0.00</w:t>
            </w:r>
          </w:p>
        </w:tc>
        <w:tc>
          <w:tcPr>
            <w:tcW w:w="0" w:type="auto"/>
            <w:tcBorders>
              <w:top w:val="nil"/>
              <w:left w:val="nil"/>
            </w:tcBorders>
            <w:shd w:val="clear" w:color="auto" w:fill="auto"/>
            <w:vAlign w:val="center"/>
            <w:hideMark/>
          </w:tcPr>
          <w:p w14:paraId="17DD07E6"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0.00</w:t>
            </w:r>
          </w:p>
        </w:tc>
      </w:tr>
      <w:tr w:rsidR="0098459F" w:rsidRPr="005732FC" w14:paraId="31AC4DEA" w14:textId="77777777" w:rsidTr="00ED6163">
        <w:trPr>
          <w:trHeight w:val="255"/>
        </w:trPr>
        <w:tc>
          <w:tcPr>
            <w:tcW w:w="0" w:type="auto"/>
            <w:tcBorders>
              <w:top w:val="nil"/>
              <w:right w:val="single" w:sz="4" w:space="0" w:color="000000"/>
            </w:tcBorders>
            <w:shd w:val="clear" w:color="auto" w:fill="auto"/>
            <w:vAlign w:val="bottom"/>
            <w:hideMark/>
          </w:tcPr>
          <w:p w14:paraId="210E4E26" w14:textId="77777777" w:rsidR="0098459F" w:rsidRPr="005732FC" w:rsidRDefault="0098459F" w:rsidP="0098459F">
            <w:pPr>
              <w:spacing w:after="0" w:line="240" w:lineRule="auto"/>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Otros ingresos                          </w:t>
            </w:r>
          </w:p>
        </w:tc>
        <w:tc>
          <w:tcPr>
            <w:tcW w:w="0" w:type="auto"/>
            <w:tcBorders>
              <w:top w:val="nil"/>
              <w:left w:val="nil"/>
              <w:right w:val="single" w:sz="4" w:space="0" w:color="000000"/>
            </w:tcBorders>
            <w:shd w:val="clear" w:color="auto" w:fill="auto"/>
            <w:vAlign w:val="center"/>
            <w:hideMark/>
          </w:tcPr>
          <w:p w14:paraId="3CD8BBE1"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0.00</w:t>
            </w:r>
          </w:p>
        </w:tc>
        <w:tc>
          <w:tcPr>
            <w:tcW w:w="0" w:type="auto"/>
            <w:tcBorders>
              <w:top w:val="nil"/>
              <w:left w:val="nil"/>
              <w:right w:val="nil"/>
            </w:tcBorders>
            <w:shd w:val="clear" w:color="auto" w:fill="auto"/>
            <w:vAlign w:val="center"/>
          </w:tcPr>
          <w:p w14:paraId="61AC89CB"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shd w:val="clear" w:color="auto" w:fill="auto"/>
            <w:vAlign w:val="center"/>
            <w:hideMark/>
          </w:tcPr>
          <w:p w14:paraId="332F0F88"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0.00</w:t>
            </w:r>
          </w:p>
        </w:tc>
        <w:tc>
          <w:tcPr>
            <w:tcW w:w="0" w:type="auto"/>
            <w:tcBorders>
              <w:top w:val="nil"/>
              <w:left w:val="nil"/>
              <w:right w:val="single" w:sz="4" w:space="0" w:color="000000"/>
            </w:tcBorders>
            <w:shd w:val="clear" w:color="auto" w:fill="auto"/>
            <w:vAlign w:val="center"/>
            <w:hideMark/>
          </w:tcPr>
          <w:p w14:paraId="2F73A5A1"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0.00</w:t>
            </w:r>
          </w:p>
        </w:tc>
        <w:tc>
          <w:tcPr>
            <w:tcW w:w="0" w:type="auto"/>
            <w:tcBorders>
              <w:top w:val="nil"/>
              <w:left w:val="nil"/>
            </w:tcBorders>
            <w:shd w:val="clear" w:color="auto" w:fill="auto"/>
            <w:vAlign w:val="center"/>
            <w:hideMark/>
          </w:tcPr>
          <w:p w14:paraId="02A5E76F"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0.00</w:t>
            </w:r>
          </w:p>
        </w:tc>
      </w:tr>
      <w:tr w:rsidR="0098459F" w:rsidRPr="005732FC" w14:paraId="72EA330A" w14:textId="77777777" w:rsidTr="00ED6163">
        <w:trPr>
          <w:trHeight w:val="255"/>
        </w:trPr>
        <w:tc>
          <w:tcPr>
            <w:tcW w:w="0" w:type="auto"/>
            <w:tcBorders>
              <w:top w:val="nil"/>
              <w:bottom w:val="single" w:sz="4" w:space="0" w:color="000000"/>
              <w:right w:val="single" w:sz="4" w:space="0" w:color="000000"/>
            </w:tcBorders>
            <w:shd w:val="clear" w:color="auto" w:fill="auto"/>
            <w:vAlign w:val="bottom"/>
            <w:hideMark/>
          </w:tcPr>
          <w:p w14:paraId="3A35D384" w14:textId="77777777" w:rsidR="0098459F" w:rsidRPr="005732FC" w:rsidRDefault="0098459F" w:rsidP="0098459F">
            <w:pPr>
              <w:spacing w:after="0" w:line="240" w:lineRule="auto"/>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Participaciones, aportaciones, convenios, incentivos derivados de la colaboración fiscal y fondos distintos de aportaciones</w:t>
            </w:r>
          </w:p>
        </w:tc>
        <w:tc>
          <w:tcPr>
            <w:tcW w:w="0" w:type="auto"/>
            <w:tcBorders>
              <w:top w:val="nil"/>
              <w:left w:val="nil"/>
              <w:bottom w:val="single" w:sz="4" w:space="0" w:color="000000"/>
              <w:right w:val="single" w:sz="4" w:space="0" w:color="000000"/>
            </w:tcBorders>
            <w:shd w:val="clear" w:color="auto" w:fill="auto"/>
            <w:vAlign w:val="center"/>
            <w:hideMark/>
          </w:tcPr>
          <w:p w14:paraId="3E0040B3"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820,618,836.00</w:t>
            </w:r>
          </w:p>
        </w:tc>
        <w:tc>
          <w:tcPr>
            <w:tcW w:w="0" w:type="auto"/>
            <w:tcBorders>
              <w:top w:val="nil"/>
              <w:left w:val="nil"/>
              <w:bottom w:val="single" w:sz="4" w:space="0" w:color="000000"/>
              <w:right w:val="nil"/>
            </w:tcBorders>
            <w:shd w:val="clear" w:color="auto" w:fill="auto"/>
            <w:vAlign w:val="center"/>
          </w:tcPr>
          <w:p w14:paraId="2ABEF363"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bottom w:val="single" w:sz="4" w:space="0" w:color="000000"/>
              <w:right w:val="single" w:sz="4" w:space="0" w:color="000000"/>
            </w:tcBorders>
            <w:shd w:val="clear" w:color="auto" w:fill="auto"/>
            <w:vAlign w:val="center"/>
            <w:hideMark/>
          </w:tcPr>
          <w:p w14:paraId="7A8BE711" w14:textId="77777777"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781,071,825.00</w:t>
            </w:r>
          </w:p>
        </w:tc>
        <w:tc>
          <w:tcPr>
            <w:tcW w:w="0" w:type="auto"/>
            <w:tcBorders>
              <w:top w:val="nil"/>
              <w:left w:val="nil"/>
              <w:bottom w:val="single" w:sz="4" w:space="0" w:color="000000"/>
              <w:right w:val="single" w:sz="4" w:space="0" w:color="000000"/>
            </w:tcBorders>
            <w:shd w:val="clear" w:color="auto" w:fill="auto"/>
            <w:vAlign w:val="center"/>
            <w:hideMark/>
          </w:tcPr>
          <w:p w14:paraId="642C69AA" w14:textId="2F16AF25"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722,242,712.00</w:t>
            </w:r>
          </w:p>
        </w:tc>
        <w:tc>
          <w:tcPr>
            <w:tcW w:w="0" w:type="auto"/>
            <w:tcBorders>
              <w:top w:val="nil"/>
              <w:left w:val="nil"/>
              <w:bottom w:val="single" w:sz="4" w:space="0" w:color="000000"/>
            </w:tcBorders>
            <w:shd w:val="clear" w:color="auto" w:fill="auto"/>
            <w:vAlign w:val="center"/>
            <w:hideMark/>
          </w:tcPr>
          <w:p w14:paraId="16DE8D94" w14:textId="6D8FBC35" w:rsidR="0098459F" w:rsidRPr="005732FC" w:rsidRDefault="0098459F" w:rsidP="00ED6163">
            <w:pPr>
              <w:spacing w:after="0" w:line="240" w:lineRule="auto"/>
              <w:jc w:val="right"/>
              <w:rPr>
                <w:rFonts w:ascii="Arial" w:eastAsia="Times New Roman" w:hAnsi="Arial" w:cs="Arial"/>
                <w:kern w:val="0"/>
                <w:sz w:val="20"/>
                <w:szCs w:val="20"/>
                <w:lang w:eastAsia="es-MX"/>
                <w14:ligatures w14:val="none"/>
              </w:rPr>
            </w:pPr>
            <w:r w:rsidRPr="005732FC">
              <w:rPr>
                <w:rFonts w:ascii="Arial" w:eastAsia="Times New Roman" w:hAnsi="Arial" w:cs="Arial"/>
                <w:kern w:val="0"/>
                <w:sz w:val="20"/>
                <w:szCs w:val="20"/>
                <w:lang w:eastAsia="es-MX"/>
                <w14:ligatures w14:val="none"/>
              </w:rPr>
              <w:t>596,435,783.00</w:t>
            </w:r>
          </w:p>
        </w:tc>
      </w:tr>
    </w:tbl>
    <w:p w14:paraId="444FD770" w14:textId="77777777" w:rsidR="0098459F" w:rsidRPr="005732FC" w:rsidRDefault="0098459F" w:rsidP="008A2B96">
      <w:pPr>
        <w:jc w:val="both"/>
        <w:rPr>
          <w:rFonts w:ascii="Arial" w:hAnsi="Arial" w:cs="Arial"/>
          <w:sz w:val="20"/>
          <w:szCs w:val="20"/>
        </w:rPr>
      </w:pPr>
    </w:p>
    <w:p w14:paraId="66FF5964" w14:textId="1BCF3A88" w:rsidR="00590B92" w:rsidRPr="005732FC" w:rsidRDefault="00BA3347" w:rsidP="0051693D">
      <w:pPr>
        <w:pStyle w:val="Ttulo1"/>
        <w:numPr>
          <w:ilvl w:val="0"/>
          <w:numId w:val="6"/>
        </w:numPr>
        <w:ind w:left="0" w:hanging="284"/>
        <w:rPr>
          <w:rFonts w:ascii="Arial" w:hAnsi="Arial" w:cs="Arial"/>
          <w:b/>
          <w:bCs/>
          <w:sz w:val="20"/>
          <w:szCs w:val="20"/>
        </w:rPr>
      </w:pPr>
      <w:r w:rsidRPr="005732FC">
        <w:rPr>
          <w:rFonts w:ascii="Arial" w:hAnsi="Arial" w:cs="Arial"/>
          <w:b/>
          <w:bCs/>
          <w:color w:val="auto"/>
          <w:sz w:val="20"/>
          <w:szCs w:val="20"/>
        </w:rPr>
        <w:t>Información sobre la Deuda y el Reporte Analítico de la Deuda</w:t>
      </w:r>
      <w:r w:rsidR="0032204F" w:rsidRPr="005732FC">
        <w:rPr>
          <w:rFonts w:ascii="Arial" w:hAnsi="Arial" w:cs="Arial"/>
          <w:b/>
          <w:bCs/>
          <w:sz w:val="20"/>
          <w:szCs w:val="20"/>
        </w:rPr>
        <w:t xml:space="preserve"> </w:t>
      </w:r>
      <w:r w:rsidRPr="005732FC">
        <w:rPr>
          <w:rFonts w:ascii="Arial" w:hAnsi="Arial" w:cs="Arial"/>
          <w:sz w:val="20"/>
          <w:szCs w:val="20"/>
        </w:rPr>
        <w:tab/>
      </w:r>
    </w:p>
    <w:p w14:paraId="33B0100B" w14:textId="2BEABA71"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34CC26C" w14:textId="7B52DA3D" w:rsidR="008701B2" w:rsidRPr="005732FC" w:rsidRDefault="008701B2" w:rsidP="008701B2">
      <w:pPr>
        <w:pStyle w:val="Ttulo2"/>
        <w:numPr>
          <w:ilvl w:val="1"/>
          <w:numId w:val="6"/>
        </w:numPr>
        <w:rPr>
          <w:rFonts w:ascii="Arial" w:hAnsi="Arial" w:cs="Arial"/>
          <w:b/>
          <w:bCs/>
          <w:sz w:val="20"/>
          <w:szCs w:val="20"/>
        </w:rPr>
      </w:pPr>
      <w:r w:rsidRPr="005732FC">
        <w:rPr>
          <w:rFonts w:ascii="Arial" w:hAnsi="Arial" w:cs="Arial"/>
          <w:b/>
          <w:bCs/>
          <w:sz w:val="20"/>
          <w:szCs w:val="20"/>
        </w:rPr>
        <w:t>Indicadores.</w:t>
      </w:r>
    </w:p>
    <w:p w14:paraId="60B0BD34" w14:textId="77777777" w:rsidR="008701B2" w:rsidRPr="005732FC" w:rsidRDefault="008701B2" w:rsidP="005D2B3E">
      <w:pPr>
        <w:spacing w:after="0"/>
        <w:jc w:val="both"/>
        <w:rPr>
          <w:rFonts w:ascii="Arial" w:hAnsi="Arial" w:cs="Arial"/>
          <w:b/>
          <w:bCs/>
          <w:sz w:val="20"/>
          <w:szCs w:val="20"/>
        </w:rPr>
      </w:pPr>
    </w:p>
    <w:p w14:paraId="6A7A124B" w14:textId="77777777" w:rsidR="007B2946" w:rsidRPr="005732FC" w:rsidRDefault="007B2946" w:rsidP="007B2946">
      <w:pPr>
        <w:spacing w:after="0"/>
        <w:jc w:val="both"/>
        <w:rPr>
          <w:rFonts w:ascii="Arial" w:hAnsi="Arial" w:cs="Arial"/>
          <w:b/>
          <w:bCs/>
          <w:sz w:val="20"/>
          <w:szCs w:val="20"/>
        </w:rPr>
      </w:pPr>
      <w:r w:rsidRPr="005732FC">
        <w:rPr>
          <w:rFonts w:ascii="Arial" w:hAnsi="Arial" w:cs="Arial"/>
          <w:b/>
          <w:bCs/>
          <w:sz w:val="20"/>
          <w:szCs w:val="20"/>
        </w:rPr>
        <w:t>Relación de Deuda Pública Bruta Total a Producto Interno Bruto del Estado de Quintana Roo:</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681CC56C" w14:textId="77777777" w:rsidR="007B2946" w:rsidRPr="005732FC" w:rsidRDefault="007B2946" w:rsidP="007B2946">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2CEBBF1" w14:textId="062550E8" w:rsidR="007B2946" w:rsidRPr="00056589" w:rsidRDefault="007B2946" w:rsidP="007B2946">
      <w:pPr>
        <w:spacing w:after="0"/>
        <w:jc w:val="both"/>
        <w:rPr>
          <w:rFonts w:ascii="Arial" w:hAnsi="Arial" w:cs="Arial"/>
          <w:sz w:val="20"/>
          <w:szCs w:val="20"/>
        </w:rPr>
      </w:pPr>
      <w:r w:rsidRPr="00056589">
        <w:rPr>
          <w:rFonts w:ascii="Arial" w:hAnsi="Arial" w:cs="Arial"/>
          <w:sz w:val="20"/>
          <w:szCs w:val="20"/>
        </w:rPr>
        <w:t xml:space="preserve">Se presentan cifras actualizadas al </w:t>
      </w:r>
      <w:r w:rsidR="00056589" w:rsidRPr="00056589">
        <w:rPr>
          <w:rFonts w:ascii="Arial" w:hAnsi="Arial" w:cs="Arial"/>
          <w:sz w:val="20"/>
          <w:szCs w:val="20"/>
        </w:rPr>
        <w:t xml:space="preserve">segundo </w:t>
      </w:r>
      <w:r w:rsidRPr="00056589">
        <w:rPr>
          <w:rFonts w:ascii="Arial" w:hAnsi="Arial" w:cs="Arial"/>
          <w:sz w:val="20"/>
          <w:szCs w:val="20"/>
        </w:rPr>
        <w:t>trimestre de 2025, de conformidad con lo dispuesto en la Norma para establecer la estructura de los formatos de información de obligaciones pagadas o garantizadas con fondos federales, emitida por el Consejo Nacional de Armonización Contable.</w:t>
      </w:r>
    </w:p>
    <w:p w14:paraId="400CE21F" w14:textId="77777777" w:rsidR="007B2946" w:rsidRPr="00056589" w:rsidRDefault="007B2946" w:rsidP="007B2946">
      <w:pPr>
        <w:spacing w:after="0"/>
        <w:jc w:val="both"/>
        <w:rPr>
          <w:rFonts w:ascii="Arial" w:hAnsi="Arial" w:cs="Arial"/>
          <w:sz w:val="20"/>
          <w:szCs w:val="20"/>
        </w:rPr>
      </w:pPr>
    </w:p>
    <w:tbl>
      <w:tblPr>
        <w:tblW w:w="9639" w:type="dxa"/>
        <w:tblCellMar>
          <w:left w:w="70" w:type="dxa"/>
          <w:right w:w="70" w:type="dxa"/>
        </w:tblCellMar>
        <w:tblLook w:val="04A0" w:firstRow="1" w:lastRow="0" w:firstColumn="1" w:lastColumn="0" w:noHBand="0" w:noVBand="1"/>
      </w:tblPr>
      <w:tblGrid>
        <w:gridCol w:w="3420"/>
        <w:gridCol w:w="2959"/>
        <w:gridCol w:w="3260"/>
      </w:tblGrid>
      <w:tr w:rsidR="007B2946" w:rsidRPr="00056589" w14:paraId="003EAE63" w14:textId="77777777" w:rsidTr="005B6C7F">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494B835F" w14:textId="77777777" w:rsidR="007B2946" w:rsidRPr="00056589" w:rsidRDefault="007B2946" w:rsidP="005B6C7F">
            <w:pPr>
              <w:spacing w:after="0" w:line="240" w:lineRule="auto"/>
              <w:jc w:val="center"/>
              <w:rPr>
                <w:rFonts w:ascii="Arial" w:eastAsia="Times New Roman" w:hAnsi="Arial" w:cs="Arial"/>
                <w:b/>
                <w:bCs/>
                <w:color w:val="000000"/>
                <w:kern w:val="0"/>
                <w:sz w:val="20"/>
                <w:szCs w:val="20"/>
                <w:lang w:eastAsia="es-MX"/>
                <w14:ligatures w14:val="none"/>
              </w:rPr>
            </w:pPr>
            <w:r w:rsidRPr="00056589">
              <w:rPr>
                <w:rFonts w:ascii="Arial" w:eastAsia="Times New Roman" w:hAnsi="Arial" w:cs="Arial"/>
                <w:b/>
                <w:bCs/>
                <w:color w:val="000000"/>
                <w:kern w:val="0"/>
                <w:sz w:val="20"/>
                <w:szCs w:val="20"/>
                <w:lang w:eastAsia="es-MX"/>
                <w14:ligatures w14:val="none"/>
              </w:rPr>
              <w:t>Concepto</w:t>
            </w:r>
          </w:p>
        </w:tc>
        <w:tc>
          <w:tcPr>
            <w:tcW w:w="2959" w:type="dxa"/>
            <w:tcBorders>
              <w:top w:val="single" w:sz="8" w:space="0" w:color="auto"/>
              <w:left w:val="nil"/>
              <w:bottom w:val="single" w:sz="8" w:space="0" w:color="auto"/>
              <w:right w:val="nil"/>
            </w:tcBorders>
            <w:shd w:val="clear" w:color="000000" w:fill="D9D9D9"/>
            <w:vAlign w:val="center"/>
            <w:hideMark/>
          </w:tcPr>
          <w:p w14:paraId="70FBB19E" w14:textId="77777777" w:rsidR="007B2946" w:rsidRPr="00056589" w:rsidRDefault="007B2946" w:rsidP="005B6C7F">
            <w:pPr>
              <w:spacing w:after="0" w:line="240" w:lineRule="auto"/>
              <w:jc w:val="right"/>
              <w:rPr>
                <w:rFonts w:ascii="Arial" w:eastAsia="Times New Roman" w:hAnsi="Arial" w:cs="Arial"/>
                <w:b/>
                <w:bCs/>
                <w:color w:val="000000"/>
                <w:kern w:val="0"/>
                <w:sz w:val="20"/>
                <w:szCs w:val="20"/>
                <w:lang w:eastAsia="es-MX"/>
                <w14:ligatures w14:val="none"/>
              </w:rPr>
            </w:pPr>
            <w:r w:rsidRPr="00056589">
              <w:rPr>
                <w:rFonts w:ascii="Arial" w:eastAsia="Times New Roman" w:hAnsi="Arial" w:cs="Arial"/>
                <w:b/>
                <w:bCs/>
                <w:color w:val="000000"/>
                <w:kern w:val="0"/>
                <w:sz w:val="20"/>
                <w:szCs w:val="20"/>
                <w:lang w:eastAsia="es-MX"/>
                <w14:ligatures w14:val="none"/>
              </w:rPr>
              <w:t>Al 31 de dic. Del año anterior</w:t>
            </w:r>
          </w:p>
        </w:tc>
        <w:tc>
          <w:tcPr>
            <w:tcW w:w="3260" w:type="dxa"/>
            <w:tcBorders>
              <w:top w:val="single" w:sz="8" w:space="0" w:color="auto"/>
              <w:left w:val="nil"/>
              <w:bottom w:val="single" w:sz="8" w:space="0" w:color="auto"/>
              <w:right w:val="nil"/>
            </w:tcBorders>
            <w:shd w:val="clear" w:color="000000" w:fill="D9D9D9"/>
            <w:vAlign w:val="center"/>
            <w:hideMark/>
          </w:tcPr>
          <w:p w14:paraId="02DA0000" w14:textId="139609D5" w:rsidR="007B2946" w:rsidRPr="00056589" w:rsidRDefault="007B2946" w:rsidP="005B6C7F">
            <w:pPr>
              <w:spacing w:after="0" w:line="240" w:lineRule="auto"/>
              <w:jc w:val="right"/>
              <w:rPr>
                <w:rFonts w:ascii="Arial" w:eastAsia="Times New Roman" w:hAnsi="Arial" w:cs="Arial"/>
                <w:b/>
                <w:bCs/>
                <w:color w:val="000000"/>
                <w:kern w:val="0"/>
                <w:sz w:val="20"/>
                <w:szCs w:val="20"/>
                <w:lang w:eastAsia="es-MX"/>
                <w14:ligatures w14:val="none"/>
              </w:rPr>
            </w:pPr>
            <w:r w:rsidRPr="00056589">
              <w:rPr>
                <w:rFonts w:ascii="Arial" w:eastAsia="Times New Roman" w:hAnsi="Arial" w:cs="Arial"/>
                <w:b/>
                <w:bCs/>
                <w:color w:val="000000"/>
                <w:kern w:val="0"/>
                <w:sz w:val="20"/>
                <w:szCs w:val="20"/>
                <w:lang w:eastAsia="es-MX"/>
                <w14:ligatures w14:val="none"/>
              </w:rPr>
              <w:t xml:space="preserve">        Al 3</w:t>
            </w:r>
            <w:r w:rsidR="00056589">
              <w:rPr>
                <w:rFonts w:ascii="Arial" w:eastAsia="Times New Roman" w:hAnsi="Arial" w:cs="Arial"/>
                <w:b/>
                <w:bCs/>
                <w:color w:val="000000"/>
                <w:kern w:val="0"/>
                <w:sz w:val="20"/>
                <w:szCs w:val="20"/>
                <w:lang w:eastAsia="es-MX"/>
                <w14:ligatures w14:val="none"/>
              </w:rPr>
              <w:t>0</w:t>
            </w:r>
            <w:r w:rsidRPr="00056589">
              <w:rPr>
                <w:rFonts w:ascii="Arial" w:eastAsia="Times New Roman" w:hAnsi="Arial" w:cs="Arial"/>
                <w:b/>
                <w:bCs/>
                <w:color w:val="000000"/>
                <w:kern w:val="0"/>
                <w:sz w:val="20"/>
                <w:szCs w:val="20"/>
                <w:lang w:eastAsia="es-MX"/>
                <w14:ligatures w14:val="none"/>
              </w:rPr>
              <w:t xml:space="preserve"> de </w:t>
            </w:r>
            <w:r w:rsidR="00056589">
              <w:rPr>
                <w:rFonts w:ascii="Arial" w:eastAsia="Times New Roman" w:hAnsi="Arial" w:cs="Arial"/>
                <w:b/>
                <w:bCs/>
                <w:color w:val="000000"/>
                <w:kern w:val="0"/>
                <w:sz w:val="20"/>
                <w:szCs w:val="20"/>
                <w:lang w:eastAsia="es-MX"/>
                <w14:ligatures w14:val="none"/>
              </w:rPr>
              <w:t>junio</w:t>
            </w:r>
            <w:r w:rsidRPr="00056589">
              <w:rPr>
                <w:rFonts w:ascii="Arial" w:eastAsia="Times New Roman" w:hAnsi="Arial" w:cs="Arial"/>
                <w:b/>
                <w:bCs/>
                <w:color w:val="000000"/>
                <w:kern w:val="0"/>
                <w:sz w:val="20"/>
                <w:szCs w:val="20"/>
                <w:lang w:eastAsia="es-MX"/>
                <w14:ligatures w14:val="none"/>
              </w:rPr>
              <w:t xml:space="preserve"> de 2025</w:t>
            </w:r>
          </w:p>
        </w:tc>
      </w:tr>
      <w:tr w:rsidR="007B2946" w:rsidRPr="00056589" w14:paraId="1D8610CB" w14:textId="77777777" w:rsidTr="005B6C7F">
        <w:trPr>
          <w:trHeight w:val="20"/>
        </w:trPr>
        <w:tc>
          <w:tcPr>
            <w:tcW w:w="3420" w:type="dxa"/>
            <w:tcBorders>
              <w:top w:val="single" w:sz="8" w:space="0" w:color="auto"/>
              <w:left w:val="nil"/>
              <w:bottom w:val="nil"/>
              <w:right w:val="nil"/>
            </w:tcBorders>
            <w:shd w:val="clear" w:color="auto" w:fill="auto"/>
            <w:noWrap/>
            <w:vAlign w:val="center"/>
            <w:hideMark/>
          </w:tcPr>
          <w:p w14:paraId="7FB4A9C9" w14:textId="77777777" w:rsidR="007B2946" w:rsidRPr="00056589" w:rsidRDefault="007B2946" w:rsidP="005B6C7F">
            <w:pPr>
              <w:spacing w:after="0" w:line="240" w:lineRule="auto"/>
              <w:rPr>
                <w:rFonts w:ascii="Arial" w:eastAsia="Times New Roman" w:hAnsi="Arial" w:cs="Arial"/>
                <w:color w:val="000000"/>
                <w:kern w:val="0"/>
                <w:sz w:val="20"/>
                <w:szCs w:val="20"/>
                <w:lang w:eastAsia="es-MX"/>
                <w14:ligatures w14:val="none"/>
              </w:rPr>
            </w:pPr>
            <w:r w:rsidRPr="00056589">
              <w:rPr>
                <w:rFonts w:ascii="Arial" w:eastAsia="Times New Roman" w:hAnsi="Arial" w:cs="Arial"/>
                <w:color w:val="000000"/>
                <w:kern w:val="0"/>
                <w:sz w:val="20"/>
                <w:szCs w:val="20"/>
                <w:lang w:eastAsia="es-MX"/>
                <w14:ligatures w14:val="none"/>
              </w:rPr>
              <w:t>Producto interior bruto estatal *</w:t>
            </w:r>
          </w:p>
        </w:tc>
        <w:tc>
          <w:tcPr>
            <w:tcW w:w="2959" w:type="dxa"/>
            <w:tcBorders>
              <w:top w:val="nil"/>
              <w:left w:val="nil"/>
              <w:bottom w:val="nil"/>
              <w:right w:val="nil"/>
            </w:tcBorders>
            <w:shd w:val="clear" w:color="auto" w:fill="auto"/>
            <w:noWrap/>
            <w:vAlign w:val="center"/>
            <w:hideMark/>
          </w:tcPr>
          <w:p w14:paraId="50E28018" w14:textId="77777777" w:rsidR="007B2946" w:rsidRPr="00056589" w:rsidRDefault="007B2946" w:rsidP="005B6C7F">
            <w:pPr>
              <w:spacing w:after="0" w:line="240" w:lineRule="auto"/>
              <w:jc w:val="right"/>
              <w:rPr>
                <w:rFonts w:ascii="Arial" w:eastAsia="Times New Roman" w:hAnsi="Arial" w:cs="Arial"/>
                <w:color w:val="000000"/>
                <w:kern w:val="0"/>
                <w:sz w:val="20"/>
                <w:szCs w:val="20"/>
                <w:lang w:eastAsia="es-MX"/>
                <w14:ligatures w14:val="none"/>
              </w:rPr>
            </w:pPr>
            <w:r w:rsidRPr="00056589">
              <w:rPr>
                <w:rFonts w:ascii="Arial" w:eastAsia="Times New Roman" w:hAnsi="Arial" w:cs="Arial"/>
                <w:color w:val="000000"/>
                <w:kern w:val="0"/>
                <w:sz w:val="20"/>
                <w:szCs w:val="20"/>
                <w:lang w:eastAsia="es-MX"/>
                <w14:ligatures w14:val="none"/>
              </w:rPr>
              <w:t>508,409,772,479.20</w:t>
            </w:r>
          </w:p>
        </w:tc>
        <w:tc>
          <w:tcPr>
            <w:tcW w:w="3260" w:type="dxa"/>
            <w:tcBorders>
              <w:top w:val="nil"/>
              <w:left w:val="nil"/>
              <w:bottom w:val="nil"/>
              <w:right w:val="nil"/>
            </w:tcBorders>
            <w:shd w:val="clear" w:color="auto" w:fill="auto"/>
            <w:noWrap/>
            <w:vAlign w:val="center"/>
            <w:hideMark/>
          </w:tcPr>
          <w:p w14:paraId="1C5900F2" w14:textId="00C77227" w:rsidR="007B2946" w:rsidRPr="00056589" w:rsidRDefault="00056589" w:rsidP="005B6C7F">
            <w:pPr>
              <w:spacing w:after="0" w:line="240" w:lineRule="auto"/>
              <w:jc w:val="right"/>
              <w:rPr>
                <w:rFonts w:ascii="Arial" w:eastAsia="Times New Roman" w:hAnsi="Arial" w:cs="Arial"/>
                <w:color w:val="000000"/>
                <w:kern w:val="0"/>
                <w:sz w:val="20"/>
                <w:szCs w:val="20"/>
                <w:lang w:eastAsia="es-MX"/>
                <w14:ligatures w14:val="none"/>
              </w:rPr>
            </w:pPr>
            <w:r w:rsidRPr="00056589">
              <w:rPr>
                <w:rFonts w:ascii="Arial" w:eastAsia="Times New Roman" w:hAnsi="Arial" w:cs="Arial"/>
                <w:color w:val="000000"/>
                <w:kern w:val="0"/>
                <w:sz w:val="20"/>
                <w:szCs w:val="20"/>
                <w:lang w:eastAsia="es-MX"/>
                <w14:ligatures w14:val="none"/>
              </w:rPr>
              <w:t>493,446,828,432.19</w:t>
            </w:r>
          </w:p>
        </w:tc>
      </w:tr>
      <w:tr w:rsidR="007B2946" w:rsidRPr="00056589" w14:paraId="66B9B580" w14:textId="77777777" w:rsidTr="005B6C7F">
        <w:trPr>
          <w:trHeight w:val="20"/>
        </w:trPr>
        <w:tc>
          <w:tcPr>
            <w:tcW w:w="3420" w:type="dxa"/>
            <w:tcBorders>
              <w:top w:val="nil"/>
              <w:left w:val="nil"/>
              <w:bottom w:val="nil"/>
              <w:right w:val="nil"/>
            </w:tcBorders>
            <w:shd w:val="clear" w:color="auto" w:fill="auto"/>
            <w:noWrap/>
            <w:vAlign w:val="center"/>
            <w:hideMark/>
          </w:tcPr>
          <w:p w14:paraId="3B3EFD29" w14:textId="77777777" w:rsidR="007B2946" w:rsidRPr="00056589" w:rsidRDefault="007B2946" w:rsidP="005B6C7F">
            <w:pPr>
              <w:spacing w:after="0" w:line="240" w:lineRule="auto"/>
              <w:rPr>
                <w:rFonts w:ascii="Arial" w:eastAsia="Times New Roman" w:hAnsi="Arial" w:cs="Arial"/>
                <w:color w:val="000000"/>
                <w:kern w:val="0"/>
                <w:sz w:val="20"/>
                <w:szCs w:val="20"/>
                <w:lang w:eastAsia="es-MX"/>
                <w14:ligatures w14:val="none"/>
              </w:rPr>
            </w:pPr>
            <w:r w:rsidRPr="00056589">
              <w:rPr>
                <w:rFonts w:ascii="Arial" w:eastAsia="Times New Roman" w:hAnsi="Arial" w:cs="Arial"/>
                <w:color w:val="000000"/>
                <w:kern w:val="0"/>
                <w:sz w:val="20"/>
                <w:szCs w:val="20"/>
                <w:lang w:eastAsia="es-MX"/>
                <w14:ligatures w14:val="none"/>
              </w:rPr>
              <w:t>Saldo de la deuda pública</w:t>
            </w:r>
          </w:p>
        </w:tc>
        <w:tc>
          <w:tcPr>
            <w:tcW w:w="2959" w:type="dxa"/>
            <w:tcBorders>
              <w:top w:val="nil"/>
              <w:left w:val="nil"/>
              <w:bottom w:val="nil"/>
              <w:right w:val="nil"/>
            </w:tcBorders>
            <w:shd w:val="clear" w:color="auto" w:fill="auto"/>
            <w:noWrap/>
            <w:vAlign w:val="center"/>
            <w:hideMark/>
          </w:tcPr>
          <w:p w14:paraId="7A82D752" w14:textId="77777777" w:rsidR="007B2946" w:rsidRPr="00056589" w:rsidRDefault="007B2946" w:rsidP="005B6C7F">
            <w:pPr>
              <w:spacing w:after="0" w:line="240" w:lineRule="auto"/>
              <w:jc w:val="right"/>
              <w:rPr>
                <w:rFonts w:ascii="Arial" w:eastAsia="Times New Roman" w:hAnsi="Arial" w:cs="Arial"/>
                <w:color w:val="000000"/>
                <w:kern w:val="0"/>
                <w:sz w:val="20"/>
                <w:szCs w:val="20"/>
                <w:lang w:eastAsia="es-MX"/>
                <w14:ligatures w14:val="none"/>
              </w:rPr>
            </w:pPr>
            <w:r w:rsidRPr="00056589">
              <w:rPr>
                <w:rFonts w:ascii="Arial" w:eastAsia="Times New Roman" w:hAnsi="Arial" w:cs="Arial"/>
                <w:color w:val="000000"/>
                <w:kern w:val="0"/>
                <w:sz w:val="20"/>
                <w:szCs w:val="20"/>
                <w:lang w:eastAsia="es-MX"/>
                <w14:ligatures w14:val="none"/>
              </w:rPr>
              <w:t>835,366,918.27</w:t>
            </w:r>
          </w:p>
        </w:tc>
        <w:tc>
          <w:tcPr>
            <w:tcW w:w="3260" w:type="dxa"/>
            <w:tcBorders>
              <w:top w:val="nil"/>
              <w:left w:val="nil"/>
              <w:bottom w:val="nil"/>
              <w:right w:val="nil"/>
            </w:tcBorders>
            <w:shd w:val="clear" w:color="auto" w:fill="auto"/>
            <w:noWrap/>
            <w:vAlign w:val="center"/>
            <w:hideMark/>
          </w:tcPr>
          <w:p w14:paraId="088B654B" w14:textId="3F5736C1" w:rsidR="007B2946" w:rsidRPr="00056589" w:rsidRDefault="00056589" w:rsidP="005B6C7F">
            <w:pPr>
              <w:spacing w:after="0" w:line="240" w:lineRule="auto"/>
              <w:jc w:val="right"/>
              <w:rPr>
                <w:rFonts w:ascii="Arial" w:eastAsia="Times New Roman" w:hAnsi="Arial" w:cs="Arial"/>
                <w:color w:val="000000"/>
                <w:kern w:val="0"/>
                <w:sz w:val="20"/>
                <w:szCs w:val="20"/>
                <w:lang w:eastAsia="es-MX"/>
                <w14:ligatures w14:val="none"/>
              </w:rPr>
            </w:pPr>
            <w:r w:rsidRPr="00056589">
              <w:rPr>
                <w:rFonts w:ascii="Arial" w:eastAsia="Times New Roman" w:hAnsi="Arial" w:cs="Arial"/>
                <w:color w:val="000000"/>
                <w:kern w:val="0"/>
                <w:sz w:val="20"/>
                <w:szCs w:val="20"/>
                <w:lang w:eastAsia="es-MX"/>
                <w14:ligatures w14:val="none"/>
              </w:rPr>
              <w:t>816,710,086.89</w:t>
            </w:r>
          </w:p>
        </w:tc>
      </w:tr>
      <w:tr w:rsidR="007B2946" w:rsidRPr="005732FC" w14:paraId="6F73BF04" w14:textId="77777777" w:rsidTr="005B6C7F">
        <w:trPr>
          <w:trHeight w:val="20"/>
        </w:trPr>
        <w:tc>
          <w:tcPr>
            <w:tcW w:w="3420" w:type="dxa"/>
            <w:tcBorders>
              <w:top w:val="nil"/>
              <w:left w:val="nil"/>
              <w:bottom w:val="single" w:sz="8" w:space="0" w:color="auto"/>
              <w:right w:val="nil"/>
            </w:tcBorders>
            <w:shd w:val="clear" w:color="auto" w:fill="auto"/>
            <w:noWrap/>
            <w:vAlign w:val="center"/>
            <w:hideMark/>
          </w:tcPr>
          <w:p w14:paraId="7D74E5BC" w14:textId="77777777" w:rsidR="007B2946" w:rsidRPr="00056589" w:rsidRDefault="007B2946" w:rsidP="005B6C7F">
            <w:pPr>
              <w:spacing w:after="0" w:line="240" w:lineRule="auto"/>
              <w:rPr>
                <w:rFonts w:ascii="Arial" w:eastAsia="Times New Roman" w:hAnsi="Arial" w:cs="Arial"/>
                <w:color w:val="000000"/>
                <w:kern w:val="0"/>
                <w:sz w:val="20"/>
                <w:szCs w:val="20"/>
                <w:lang w:eastAsia="es-MX"/>
                <w14:ligatures w14:val="none"/>
              </w:rPr>
            </w:pPr>
            <w:r w:rsidRPr="00056589">
              <w:rPr>
                <w:rFonts w:ascii="Arial" w:eastAsia="Times New Roman" w:hAnsi="Arial" w:cs="Arial"/>
                <w:color w:val="000000"/>
                <w:kern w:val="0"/>
                <w:sz w:val="20"/>
                <w:szCs w:val="20"/>
                <w:lang w:eastAsia="es-MX"/>
                <w14:ligatures w14:val="none"/>
              </w:rPr>
              <w:t>Porcentaje</w:t>
            </w:r>
          </w:p>
        </w:tc>
        <w:tc>
          <w:tcPr>
            <w:tcW w:w="2959" w:type="dxa"/>
            <w:tcBorders>
              <w:top w:val="nil"/>
              <w:left w:val="nil"/>
              <w:bottom w:val="single" w:sz="8" w:space="0" w:color="auto"/>
              <w:right w:val="nil"/>
            </w:tcBorders>
            <w:shd w:val="clear" w:color="auto" w:fill="auto"/>
            <w:noWrap/>
            <w:vAlign w:val="center"/>
            <w:hideMark/>
          </w:tcPr>
          <w:p w14:paraId="089E4F44" w14:textId="77777777" w:rsidR="007B2946" w:rsidRPr="00056589" w:rsidRDefault="007B2946" w:rsidP="005B6C7F">
            <w:pPr>
              <w:spacing w:after="0" w:line="240" w:lineRule="auto"/>
              <w:jc w:val="right"/>
              <w:rPr>
                <w:rFonts w:ascii="Arial" w:eastAsia="Times New Roman" w:hAnsi="Arial" w:cs="Arial"/>
                <w:color w:val="000000"/>
                <w:kern w:val="0"/>
                <w:sz w:val="20"/>
                <w:szCs w:val="20"/>
                <w:lang w:eastAsia="es-MX"/>
                <w14:ligatures w14:val="none"/>
              </w:rPr>
            </w:pPr>
            <w:r w:rsidRPr="00056589">
              <w:rPr>
                <w:rFonts w:ascii="Arial" w:eastAsia="Times New Roman" w:hAnsi="Arial" w:cs="Arial"/>
                <w:color w:val="000000"/>
                <w:kern w:val="0"/>
                <w:sz w:val="20"/>
                <w:szCs w:val="20"/>
                <w:lang w:eastAsia="es-MX"/>
                <w14:ligatures w14:val="none"/>
              </w:rPr>
              <w:t>0.16%</w:t>
            </w:r>
          </w:p>
        </w:tc>
        <w:tc>
          <w:tcPr>
            <w:tcW w:w="3260" w:type="dxa"/>
            <w:tcBorders>
              <w:top w:val="nil"/>
              <w:left w:val="nil"/>
              <w:bottom w:val="single" w:sz="8" w:space="0" w:color="auto"/>
              <w:right w:val="nil"/>
            </w:tcBorders>
            <w:shd w:val="clear" w:color="auto" w:fill="auto"/>
            <w:noWrap/>
            <w:vAlign w:val="center"/>
            <w:hideMark/>
          </w:tcPr>
          <w:p w14:paraId="3C53A1D2" w14:textId="3CC20E77" w:rsidR="007B2946" w:rsidRPr="00056589" w:rsidRDefault="007B2946" w:rsidP="005B6C7F">
            <w:pPr>
              <w:spacing w:after="0" w:line="240" w:lineRule="auto"/>
              <w:jc w:val="right"/>
              <w:rPr>
                <w:rFonts w:ascii="Arial" w:eastAsia="Times New Roman" w:hAnsi="Arial" w:cs="Arial"/>
                <w:color w:val="000000"/>
                <w:kern w:val="0"/>
                <w:sz w:val="20"/>
                <w:szCs w:val="20"/>
                <w:lang w:eastAsia="es-MX"/>
                <w14:ligatures w14:val="none"/>
              </w:rPr>
            </w:pPr>
            <w:r w:rsidRPr="00056589">
              <w:rPr>
                <w:rFonts w:ascii="Arial" w:eastAsia="Times New Roman" w:hAnsi="Arial" w:cs="Arial"/>
                <w:color w:val="000000"/>
                <w:kern w:val="0"/>
                <w:sz w:val="20"/>
                <w:szCs w:val="20"/>
                <w:lang w:eastAsia="es-MX"/>
                <w14:ligatures w14:val="none"/>
              </w:rPr>
              <w:t>0.1</w:t>
            </w:r>
            <w:r w:rsidR="00056589" w:rsidRPr="00056589">
              <w:rPr>
                <w:rFonts w:ascii="Arial" w:eastAsia="Times New Roman" w:hAnsi="Arial" w:cs="Arial"/>
                <w:color w:val="000000"/>
                <w:kern w:val="0"/>
                <w:sz w:val="20"/>
                <w:szCs w:val="20"/>
                <w:lang w:eastAsia="es-MX"/>
                <w14:ligatures w14:val="none"/>
              </w:rPr>
              <w:t>7</w:t>
            </w:r>
            <w:r w:rsidRPr="00056589">
              <w:rPr>
                <w:rFonts w:ascii="Arial" w:eastAsia="Times New Roman" w:hAnsi="Arial" w:cs="Arial"/>
                <w:color w:val="000000"/>
                <w:kern w:val="0"/>
                <w:sz w:val="20"/>
                <w:szCs w:val="20"/>
                <w:lang w:eastAsia="es-MX"/>
                <w14:ligatures w14:val="none"/>
              </w:rPr>
              <w:t>%</w:t>
            </w:r>
          </w:p>
        </w:tc>
      </w:tr>
    </w:tbl>
    <w:p w14:paraId="4673F277" w14:textId="77777777" w:rsidR="007B2946" w:rsidRPr="005732FC" w:rsidRDefault="007B2946" w:rsidP="007B2946">
      <w:pPr>
        <w:spacing w:after="0"/>
        <w:jc w:val="both"/>
        <w:rPr>
          <w:rFonts w:ascii="Arial" w:hAnsi="Arial" w:cs="Arial"/>
          <w:sz w:val="20"/>
          <w:szCs w:val="20"/>
          <w:highlight w:val="cyan"/>
        </w:rPr>
      </w:pPr>
    </w:p>
    <w:p w14:paraId="69299C5D" w14:textId="77777777" w:rsidR="007B2946" w:rsidRPr="00E35442" w:rsidRDefault="007B2946" w:rsidP="007B2946">
      <w:pPr>
        <w:spacing w:after="0"/>
        <w:jc w:val="both"/>
        <w:rPr>
          <w:rFonts w:ascii="Arial" w:hAnsi="Arial" w:cs="Arial"/>
          <w:b/>
          <w:bCs/>
          <w:sz w:val="20"/>
          <w:szCs w:val="20"/>
        </w:rPr>
      </w:pPr>
      <w:r w:rsidRPr="00E35442">
        <w:rPr>
          <w:rFonts w:ascii="Arial" w:hAnsi="Arial" w:cs="Arial"/>
          <w:b/>
          <w:bCs/>
          <w:sz w:val="20"/>
          <w:szCs w:val="20"/>
        </w:rPr>
        <w:t>Relación de Deuda Pública Bruta Total a Ingresos Propios del Municipio de Benito Juárez:</w:t>
      </w:r>
      <w:r w:rsidRPr="00E35442">
        <w:rPr>
          <w:rFonts w:ascii="Arial" w:hAnsi="Arial" w:cs="Arial"/>
          <w:b/>
          <w:bCs/>
          <w:sz w:val="20"/>
          <w:szCs w:val="20"/>
        </w:rPr>
        <w:tab/>
      </w:r>
      <w:r w:rsidRPr="00E35442">
        <w:rPr>
          <w:rFonts w:ascii="Arial" w:hAnsi="Arial" w:cs="Arial"/>
          <w:b/>
          <w:bCs/>
          <w:sz w:val="20"/>
          <w:szCs w:val="20"/>
        </w:rPr>
        <w:tab/>
      </w:r>
      <w:r w:rsidRPr="00E35442">
        <w:rPr>
          <w:rFonts w:ascii="Arial" w:hAnsi="Arial" w:cs="Arial"/>
          <w:b/>
          <w:bCs/>
          <w:sz w:val="20"/>
          <w:szCs w:val="20"/>
        </w:rPr>
        <w:tab/>
      </w:r>
      <w:r w:rsidRPr="00E35442">
        <w:rPr>
          <w:rFonts w:ascii="Arial" w:hAnsi="Arial" w:cs="Arial"/>
          <w:b/>
          <w:bCs/>
          <w:sz w:val="20"/>
          <w:szCs w:val="20"/>
        </w:rPr>
        <w:tab/>
      </w:r>
      <w:r w:rsidRPr="00E35442">
        <w:rPr>
          <w:rFonts w:ascii="Arial" w:hAnsi="Arial" w:cs="Arial"/>
          <w:b/>
          <w:bCs/>
          <w:sz w:val="20"/>
          <w:szCs w:val="20"/>
        </w:rPr>
        <w:tab/>
      </w:r>
      <w:r w:rsidRPr="00E35442">
        <w:rPr>
          <w:rFonts w:ascii="Arial" w:hAnsi="Arial" w:cs="Arial"/>
          <w:b/>
          <w:bCs/>
          <w:sz w:val="20"/>
          <w:szCs w:val="20"/>
        </w:rPr>
        <w:tab/>
      </w:r>
      <w:r w:rsidRPr="00E35442">
        <w:rPr>
          <w:rFonts w:ascii="Arial" w:hAnsi="Arial" w:cs="Arial"/>
          <w:b/>
          <w:bCs/>
          <w:sz w:val="20"/>
          <w:szCs w:val="20"/>
        </w:rPr>
        <w:tab/>
      </w:r>
      <w:r w:rsidRPr="00E35442">
        <w:rPr>
          <w:rFonts w:ascii="Arial" w:hAnsi="Arial" w:cs="Arial"/>
          <w:b/>
          <w:bCs/>
          <w:sz w:val="20"/>
          <w:szCs w:val="20"/>
        </w:rPr>
        <w:tab/>
      </w:r>
      <w:r w:rsidRPr="00E35442">
        <w:rPr>
          <w:rFonts w:ascii="Arial" w:hAnsi="Arial" w:cs="Arial"/>
          <w:sz w:val="20"/>
          <w:szCs w:val="20"/>
        </w:rPr>
        <w:tab/>
      </w:r>
      <w:r w:rsidRPr="00E35442">
        <w:rPr>
          <w:rFonts w:ascii="Arial" w:hAnsi="Arial" w:cs="Arial"/>
          <w:sz w:val="20"/>
          <w:szCs w:val="20"/>
        </w:rPr>
        <w:tab/>
      </w:r>
      <w:r w:rsidRPr="00E35442">
        <w:rPr>
          <w:rFonts w:ascii="Arial" w:hAnsi="Arial" w:cs="Arial"/>
          <w:sz w:val="20"/>
          <w:szCs w:val="20"/>
        </w:rPr>
        <w:tab/>
      </w:r>
      <w:r w:rsidRPr="00E35442">
        <w:rPr>
          <w:rFonts w:ascii="Arial" w:hAnsi="Arial" w:cs="Arial"/>
          <w:sz w:val="20"/>
          <w:szCs w:val="20"/>
        </w:rPr>
        <w:tab/>
      </w:r>
      <w:r w:rsidRPr="00E35442">
        <w:rPr>
          <w:rFonts w:ascii="Arial" w:hAnsi="Arial" w:cs="Arial"/>
          <w:sz w:val="20"/>
          <w:szCs w:val="20"/>
        </w:rPr>
        <w:tab/>
      </w:r>
      <w:r w:rsidRPr="00E35442">
        <w:rPr>
          <w:rFonts w:ascii="Arial" w:hAnsi="Arial" w:cs="Arial"/>
          <w:sz w:val="20"/>
          <w:szCs w:val="20"/>
        </w:rPr>
        <w:tab/>
      </w:r>
      <w:r w:rsidRPr="00E35442">
        <w:rPr>
          <w:rFonts w:ascii="Arial" w:hAnsi="Arial" w:cs="Arial"/>
          <w:sz w:val="20"/>
          <w:szCs w:val="20"/>
        </w:rPr>
        <w:tab/>
      </w:r>
    </w:p>
    <w:p w14:paraId="7C609384" w14:textId="0CDF4253" w:rsidR="007B2946" w:rsidRPr="00E35442" w:rsidRDefault="007B2946" w:rsidP="007B2946">
      <w:pPr>
        <w:spacing w:after="0"/>
        <w:jc w:val="both"/>
        <w:rPr>
          <w:rFonts w:ascii="Arial" w:hAnsi="Arial" w:cs="Arial"/>
          <w:sz w:val="20"/>
          <w:szCs w:val="20"/>
        </w:rPr>
      </w:pPr>
      <w:r w:rsidRPr="00E35442">
        <w:rPr>
          <w:rFonts w:ascii="Arial" w:hAnsi="Arial" w:cs="Arial"/>
          <w:sz w:val="20"/>
          <w:szCs w:val="20"/>
        </w:rPr>
        <w:t xml:space="preserve">Se presentan cifras actualizadas al </w:t>
      </w:r>
      <w:r w:rsidR="00E35442" w:rsidRPr="00E35442">
        <w:rPr>
          <w:rFonts w:ascii="Arial" w:hAnsi="Arial" w:cs="Arial"/>
          <w:sz w:val="20"/>
          <w:szCs w:val="20"/>
        </w:rPr>
        <w:t>segundo</w:t>
      </w:r>
      <w:r w:rsidRPr="00E35442">
        <w:rPr>
          <w:rFonts w:ascii="Arial" w:hAnsi="Arial" w:cs="Arial"/>
          <w:sz w:val="20"/>
          <w:szCs w:val="20"/>
        </w:rPr>
        <w:t xml:space="preserve"> trimestre de 2025, de conformidad con lo establecido en la Norma para establecer la estructura de los formatos de información de obligaciones pagadas o garantizadas con fondos federales, emitida por el Consejo Nacional de Armonización Contable.</w:t>
      </w:r>
    </w:p>
    <w:p w14:paraId="20083933" w14:textId="77777777" w:rsidR="007B2946" w:rsidRPr="00E35442" w:rsidRDefault="007B2946" w:rsidP="007B2946">
      <w:pPr>
        <w:spacing w:after="0"/>
        <w:jc w:val="both"/>
        <w:rPr>
          <w:rFonts w:ascii="Arial" w:hAnsi="Arial" w:cs="Arial"/>
          <w:sz w:val="20"/>
          <w:szCs w:val="20"/>
        </w:rPr>
      </w:pPr>
    </w:p>
    <w:tbl>
      <w:tblPr>
        <w:tblpPr w:leftFromText="141" w:rightFromText="141" w:vertAnchor="text" w:tblpY="1"/>
        <w:tblOverlap w:val="never"/>
        <w:tblW w:w="9639" w:type="dxa"/>
        <w:tblCellMar>
          <w:left w:w="70" w:type="dxa"/>
          <w:right w:w="70" w:type="dxa"/>
        </w:tblCellMar>
        <w:tblLook w:val="04A0" w:firstRow="1" w:lastRow="0" w:firstColumn="1" w:lastColumn="0" w:noHBand="0" w:noVBand="1"/>
      </w:tblPr>
      <w:tblGrid>
        <w:gridCol w:w="3420"/>
        <w:gridCol w:w="3101"/>
        <w:gridCol w:w="3118"/>
      </w:tblGrid>
      <w:tr w:rsidR="007B2946" w:rsidRPr="00E35442" w14:paraId="4678F201" w14:textId="77777777" w:rsidTr="005B6C7F">
        <w:trPr>
          <w:trHeight w:val="20"/>
          <w:tblHeader/>
        </w:trPr>
        <w:tc>
          <w:tcPr>
            <w:tcW w:w="3420" w:type="dxa"/>
            <w:tcBorders>
              <w:top w:val="single" w:sz="8" w:space="0" w:color="auto"/>
              <w:left w:val="nil"/>
              <w:bottom w:val="single" w:sz="8" w:space="0" w:color="auto"/>
              <w:right w:val="nil"/>
            </w:tcBorders>
            <w:shd w:val="clear" w:color="000000" w:fill="D9D9D9"/>
            <w:noWrap/>
            <w:vAlign w:val="center"/>
            <w:hideMark/>
          </w:tcPr>
          <w:p w14:paraId="768711F2" w14:textId="77777777" w:rsidR="007B2946" w:rsidRPr="00E35442" w:rsidRDefault="007B2946" w:rsidP="005B6C7F">
            <w:pPr>
              <w:spacing w:after="0" w:line="240" w:lineRule="auto"/>
              <w:jc w:val="center"/>
              <w:rPr>
                <w:rFonts w:ascii="Arial" w:eastAsia="Times New Roman" w:hAnsi="Arial" w:cs="Arial"/>
                <w:b/>
                <w:bCs/>
                <w:color w:val="000000"/>
                <w:kern w:val="0"/>
                <w:sz w:val="20"/>
                <w:szCs w:val="20"/>
                <w:lang w:eastAsia="es-MX"/>
                <w14:ligatures w14:val="none"/>
              </w:rPr>
            </w:pPr>
            <w:r w:rsidRPr="00E35442">
              <w:rPr>
                <w:rFonts w:ascii="Arial" w:eastAsia="Times New Roman" w:hAnsi="Arial" w:cs="Arial"/>
                <w:b/>
                <w:bCs/>
                <w:color w:val="000000"/>
                <w:kern w:val="0"/>
                <w:sz w:val="20"/>
                <w:szCs w:val="20"/>
                <w:lang w:eastAsia="es-MX"/>
                <w14:ligatures w14:val="none"/>
              </w:rPr>
              <w:t>Concepto</w:t>
            </w:r>
          </w:p>
        </w:tc>
        <w:tc>
          <w:tcPr>
            <w:tcW w:w="3101" w:type="dxa"/>
            <w:tcBorders>
              <w:top w:val="single" w:sz="8" w:space="0" w:color="auto"/>
              <w:left w:val="nil"/>
              <w:bottom w:val="single" w:sz="8" w:space="0" w:color="auto"/>
              <w:right w:val="nil"/>
            </w:tcBorders>
            <w:shd w:val="clear" w:color="000000" w:fill="D9D9D9"/>
            <w:vAlign w:val="center"/>
            <w:hideMark/>
          </w:tcPr>
          <w:p w14:paraId="36C86880" w14:textId="77777777" w:rsidR="007B2946" w:rsidRPr="00E35442" w:rsidRDefault="007B2946" w:rsidP="005B6C7F">
            <w:pPr>
              <w:spacing w:after="0" w:line="240" w:lineRule="auto"/>
              <w:jc w:val="right"/>
              <w:rPr>
                <w:rFonts w:ascii="Arial" w:eastAsia="Times New Roman" w:hAnsi="Arial" w:cs="Arial"/>
                <w:b/>
                <w:bCs/>
                <w:color w:val="000000"/>
                <w:kern w:val="0"/>
                <w:sz w:val="20"/>
                <w:szCs w:val="20"/>
                <w:lang w:eastAsia="es-MX"/>
                <w14:ligatures w14:val="none"/>
              </w:rPr>
            </w:pPr>
            <w:r w:rsidRPr="00E35442">
              <w:rPr>
                <w:rFonts w:ascii="Arial" w:eastAsia="Times New Roman" w:hAnsi="Arial" w:cs="Arial"/>
                <w:b/>
                <w:bCs/>
                <w:color w:val="000000"/>
                <w:kern w:val="0"/>
                <w:sz w:val="20"/>
                <w:szCs w:val="20"/>
                <w:lang w:eastAsia="es-MX"/>
                <w14:ligatures w14:val="none"/>
              </w:rPr>
              <w:t>Al 31 de dic. Del año anterior</w:t>
            </w:r>
          </w:p>
        </w:tc>
        <w:tc>
          <w:tcPr>
            <w:tcW w:w="3118" w:type="dxa"/>
            <w:tcBorders>
              <w:top w:val="single" w:sz="8" w:space="0" w:color="auto"/>
              <w:left w:val="nil"/>
              <w:bottom w:val="single" w:sz="8" w:space="0" w:color="auto"/>
              <w:right w:val="nil"/>
            </w:tcBorders>
            <w:shd w:val="clear" w:color="000000" w:fill="D9D9D9"/>
            <w:vAlign w:val="center"/>
            <w:hideMark/>
          </w:tcPr>
          <w:p w14:paraId="415DCC71" w14:textId="69597183" w:rsidR="007B2946" w:rsidRPr="00E35442" w:rsidRDefault="00E35442" w:rsidP="005B6C7F">
            <w:pPr>
              <w:spacing w:after="0" w:line="240" w:lineRule="auto"/>
              <w:jc w:val="right"/>
              <w:rPr>
                <w:rFonts w:ascii="Arial" w:eastAsia="Times New Roman" w:hAnsi="Arial" w:cs="Arial"/>
                <w:b/>
                <w:bCs/>
                <w:color w:val="000000"/>
                <w:kern w:val="0"/>
                <w:sz w:val="20"/>
                <w:szCs w:val="20"/>
                <w:lang w:eastAsia="es-MX"/>
                <w14:ligatures w14:val="none"/>
              </w:rPr>
            </w:pPr>
            <w:r w:rsidRPr="00E35442">
              <w:rPr>
                <w:rFonts w:ascii="Arial" w:eastAsia="Times New Roman" w:hAnsi="Arial" w:cs="Arial"/>
                <w:b/>
                <w:bCs/>
                <w:color w:val="000000"/>
                <w:kern w:val="0"/>
                <w:sz w:val="20"/>
                <w:szCs w:val="20"/>
                <w:lang w:eastAsia="es-MX"/>
                <w14:ligatures w14:val="none"/>
              </w:rPr>
              <w:t>Al 30 de junio de 2025</w:t>
            </w:r>
          </w:p>
        </w:tc>
      </w:tr>
      <w:tr w:rsidR="007B2946" w:rsidRPr="00E35442" w14:paraId="4392226A" w14:textId="77777777" w:rsidTr="005B6C7F">
        <w:trPr>
          <w:trHeight w:val="20"/>
        </w:trPr>
        <w:tc>
          <w:tcPr>
            <w:tcW w:w="3420" w:type="dxa"/>
            <w:tcBorders>
              <w:top w:val="single" w:sz="8" w:space="0" w:color="auto"/>
              <w:left w:val="nil"/>
              <w:bottom w:val="nil"/>
              <w:right w:val="nil"/>
            </w:tcBorders>
            <w:shd w:val="clear" w:color="auto" w:fill="auto"/>
            <w:noWrap/>
            <w:vAlign w:val="center"/>
            <w:hideMark/>
          </w:tcPr>
          <w:p w14:paraId="28E8D9DF" w14:textId="77777777" w:rsidR="007B2946" w:rsidRPr="00E35442" w:rsidRDefault="007B2946" w:rsidP="005B6C7F">
            <w:pPr>
              <w:spacing w:after="0" w:line="240" w:lineRule="auto"/>
              <w:rPr>
                <w:rFonts w:ascii="Arial" w:eastAsia="Times New Roman" w:hAnsi="Arial" w:cs="Arial"/>
                <w:color w:val="000000"/>
                <w:kern w:val="0"/>
                <w:sz w:val="20"/>
                <w:szCs w:val="20"/>
                <w:lang w:eastAsia="es-MX"/>
                <w14:ligatures w14:val="none"/>
              </w:rPr>
            </w:pPr>
            <w:r w:rsidRPr="00E35442">
              <w:rPr>
                <w:rFonts w:ascii="Arial" w:eastAsia="Times New Roman" w:hAnsi="Arial" w:cs="Arial"/>
                <w:color w:val="000000"/>
                <w:kern w:val="0"/>
                <w:sz w:val="20"/>
                <w:szCs w:val="20"/>
                <w:lang w:eastAsia="es-MX"/>
                <w14:ligatures w14:val="none"/>
              </w:rPr>
              <w:t xml:space="preserve">Ingresos Propios </w:t>
            </w:r>
          </w:p>
        </w:tc>
        <w:tc>
          <w:tcPr>
            <w:tcW w:w="3101" w:type="dxa"/>
            <w:tcBorders>
              <w:top w:val="nil"/>
              <w:left w:val="nil"/>
              <w:bottom w:val="nil"/>
              <w:right w:val="nil"/>
            </w:tcBorders>
            <w:shd w:val="clear" w:color="auto" w:fill="auto"/>
            <w:noWrap/>
            <w:vAlign w:val="center"/>
            <w:hideMark/>
          </w:tcPr>
          <w:p w14:paraId="07FAFAC2" w14:textId="77777777" w:rsidR="007B2946" w:rsidRPr="00E35442" w:rsidRDefault="007B2946" w:rsidP="005B6C7F">
            <w:pPr>
              <w:spacing w:after="0" w:line="240" w:lineRule="auto"/>
              <w:jc w:val="right"/>
              <w:rPr>
                <w:rFonts w:ascii="Arial" w:eastAsia="Times New Roman" w:hAnsi="Arial" w:cs="Arial"/>
                <w:color w:val="000000"/>
                <w:kern w:val="0"/>
                <w:sz w:val="20"/>
                <w:szCs w:val="20"/>
                <w:lang w:eastAsia="es-MX"/>
                <w14:ligatures w14:val="none"/>
              </w:rPr>
            </w:pPr>
            <w:r w:rsidRPr="00E35442">
              <w:rPr>
                <w:rFonts w:ascii="Arial" w:eastAsia="Times New Roman" w:hAnsi="Arial" w:cs="Arial"/>
                <w:color w:val="000000"/>
                <w:kern w:val="0"/>
                <w:sz w:val="20"/>
                <w:szCs w:val="20"/>
                <w:lang w:eastAsia="es-MX"/>
                <w14:ligatures w14:val="none"/>
              </w:rPr>
              <w:t>6,160,835,911.76</w:t>
            </w:r>
          </w:p>
        </w:tc>
        <w:tc>
          <w:tcPr>
            <w:tcW w:w="3118" w:type="dxa"/>
            <w:tcBorders>
              <w:top w:val="nil"/>
              <w:left w:val="nil"/>
              <w:bottom w:val="nil"/>
              <w:right w:val="nil"/>
            </w:tcBorders>
            <w:shd w:val="clear" w:color="auto" w:fill="auto"/>
            <w:noWrap/>
            <w:vAlign w:val="center"/>
            <w:hideMark/>
          </w:tcPr>
          <w:p w14:paraId="4272A78A" w14:textId="680DBD38" w:rsidR="007B2946" w:rsidRPr="00E35442" w:rsidRDefault="00E35442" w:rsidP="005B6C7F">
            <w:pPr>
              <w:spacing w:after="0" w:line="240" w:lineRule="auto"/>
              <w:jc w:val="right"/>
              <w:rPr>
                <w:rFonts w:ascii="Arial" w:eastAsia="Times New Roman" w:hAnsi="Arial" w:cs="Arial"/>
                <w:color w:val="000000"/>
                <w:kern w:val="0"/>
                <w:sz w:val="20"/>
                <w:szCs w:val="20"/>
                <w:lang w:eastAsia="es-MX"/>
                <w14:ligatures w14:val="none"/>
              </w:rPr>
            </w:pPr>
            <w:r w:rsidRPr="00E35442">
              <w:rPr>
                <w:rFonts w:ascii="Arial" w:eastAsia="Times New Roman" w:hAnsi="Arial" w:cs="Arial"/>
                <w:color w:val="000000"/>
                <w:kern w:val="0"/>
                <w:sz w:val="20"/>
                <w:szCs w:val="20"/>
                <w:lang w:eastAsia="es-MX"/>
                <w14:ligatures w14:val="none"/>
              </w:rPr>
              <w:t>2,889,574,832.81</w:t>
            </w:r>
          </w:p>
        </w:tc>
      </w:tr>
      <w:tr w:rsidR="007B2946" w:rsidRPr="00E35442" w14:paraId="17F82E70" w14:textId="77777777" w:rsidTr="005B6C7F">
        <w:trPr>
          <w:trHeight w:val="20"/>
        </w:trPr>
        <w:tc>
          <w:tcPr>
            <w:tcW w:w="3420" w:type="dxa"/>
            <w:tcBorders>
              <w:top w:val="nil"/>
              <w:left w:val="nil"/>
              <w:bottom w:val="nil"/>
              <w:right w:val="nil"/>
            </w:tcBorders>
            <w:shd w:val="clear" w:color="auto" w:fill="auto"/>
            <w:noWrap/>
            <w:vAlign w:val="center"/>
            <w:hideMark/>
          </w:tcPr>
          <w:p w14:paraId="583F08B5" w14:textId="77777777" w:rsidR="007B2946" w:rsidRPr="00E35442" w:rsidRDefault="007B2946" w:rsidP="005B6C7F">
            <w:pPr>
              <w:spacing w:after="0" w:line="240" w:lineRule="auto"/>
              <w:rPr>
                <w:rFonts w:ascii="Arial" w:eastAsia="Times New Roman" w:hAnsi="Arial" w:cs="Arial"/>
                <w:color w:val="000000"/>
                <w:kern w:val="0"/>
                <w:sz w:val="20"/>
                <w:szCs w:val="20"/>
                <w:lang w:eastAsia="es-MX"/>
                <w14:ligatures w14:val="none"/>
              </w:rPr>
            </w:pPr>
            <w:r w:rsidRPr="00E35442">
              <w:rPr>
                <w:rFonts w:ascii="Arial" w:eastAsia="Times New Roman" w:hAnsi="Arial" w:cs="Arial"/>
                <w:color w:val="000000"/>
                <w:kern w:val="0"/>
                <w:sz w:val="20"/>
                <w:szCs w:val="20"/>
                <w:lang w:eastAsia="es-MX"/>
                <w14:ligatures w14:val="none"/>
              </w:rPr>
              <w:t>Saldo de la deuda pública</w:t>
            </w:r>
          </w:p>
        </w:tc>
        <w:tc>
          <w:tcPr>
            <w:tcW w:w="3101" w:type="dxa"/>
            <w:tcBorders>
              <w:top w:val="nil"/>
              <w:left w:val="nil"/>
              <w:bottom w:val="nil"/>
              <w:right w:val="nil"/>
            </w:tcBorders>
            <w:shd w:val="clear" w:color="auto" w:fill="auto"/>
            <w:noWrap/>
            <w:vAlign w:val="center"/>
            <w:hideMark/>
          </w:tcPr>
          <w:p w14:paraId="053DFD8C" w14:textId="77777777" w:rsidR="007B2946" w:rsidRPr="00E35442" w:rsidRDefault="007B2946" w:rsidP="005B6C7F">
            <w:pPr>
              <w:spacing w:after="0" w:line="240" w:lineRule="auto"/>
              <w:jc w:val="right"/>
              <w:rPr>
                <w:rFonts w:ascii="Arial" w:eastAsia="Times New Roman" w:hAnsi="Arial" w:cs="Arial"/>
                <w:color w:val="000000"/>
                <w:kern w:val="0"/>
                <w:sz w:val="20"/>
                <w:szCs w:val="20"/>
                <w:lang w:eastAsia="es-MX"/>
                <w14:ligatures w14:val="none"/>
              </w:rPr>
            </w:pPr>
            <w:r w:rsidRPr="00E35442">
              <w:rPr>
                <w:rFonts w:ascii="Arial" w:eastAsia="Times New Roman" w:hAnsi="Arial" w:cs="Arial"/>
                <w:color w:val="000000"/>
                <w:kern w:val="0"/>
                <w:sz w:val="20"/>
                <w:szCs w:val="20"/>
                <w:lang w:eastAsia="es-MX"/>
                <w14:ligatures w14:val="none"/>
              </w:rPr>
              <w:t>835,366,918.27</w:t>
            </w:r>
          </w:p>
        </w:tc>
        <w:tc>
          <w:tcPr>
            <w:tcW w:w="3118" w:type="dxa"/>
            <w:tcBorders>
              <w:top w:val="nil"/>
              <w:left w:val="nil"/>
              <w:bottom w:val="nil"/>
              <w:right w:val="nil"/>
            </w:tcBorders>
            <w:shd w:val="clear" w:color="auto" w:fill="auto"/>
            <w:noWrap/>
            <w:vAlign w:val="center"/>
            <w:hideMark/>
          </w:tcPr>
          <w:p w14:paraId="363485A7" w14:textId="0F2CB812" w:rsidR="007B2946" w:rsidRPr="00E35442" w:rsidRDefault="00E35442" w:rsidP="005B6C7F">
            <w:pPr>
              <w:spacing w:after="0" w:line="240" w:lineRule="auto"/>
              <w:jc w:val="right"/>
              <w:rPr>
                <w:rFonts w:ascii="Arial" w:eastAsia="Times New Roman" w:hAnsi="Arial" w:cs="Arial"/>
                <w:color w:val="000000"/>
                <w:kern w:val="0"/>
                <w:sz w:val="20"/>
                <w:szCs w:val="20"/>
                <w:lang w:eastAsia="es-MX"/>
                <w14:ligatures w14:val="none"/>
              </w:rPr>
            </w:pPr>
            <w:r w:rsidRPr="00E35442">
              <w:rPr>
                <w:rFonts w:ascii="Arial" w:eastAsia="Times New Roman" w:hAnsi="Arial" w:cs="Arial"/>
                <w:color w:val="000000"/>
                <w:kern w:val="0"/>
                <w:sz w:val="20"/>
                <w:szCs w:val="20"/>
                <w:lang w:eastAsia="es-MX"/>
                <w14:ligatures w14:val="none"/>
              </w:rPr>
              <w:t>816,710,086.89</w:t>
            </w:r>
          </w:p>
        </w:tc>
      </w:tr>
      <w:tr w:rsidR="007B2946" w:rsidRPr="005732FC" w14:paraId="1F5D89B4" w14:textId="77777777" w:rsidTr="005B6C7F">
        <w:trPr>
          <w:trHeight w:val="20"/>
        </w:trPr>
        <w:tc>
          <w:tcPr>
            <w:tcW w:w="3420" w:type="dxa"/>
            <w:tcBorders>
              <w:top w:val="nil"/>
              <w:left w:val="nil"/>
              <w:bottom w:val="single" w:sz="8" w:space="0" w:color="auto"/>
              <w:right w:val="nil"/>
            </w:tcBorders>
            <w:shd w:val="clear" w:color="auto" w:fill="auto"/>
            <w:noWrap/>
            <w:vAlign w:val="center"/>
            <w:hideMark/>
          </w:tcPr>
          <w:p w14:paraId="271A3F34" w14:textId="77777777" w:rsidR="007B2946" w:rsidRPr="00E35442" w:rsidRDefault="007B2946" w:rsidP="005B6C7F">
            <w:pPr>
              <w:spacing w:after="0" w:line="240" w:lineRule="auto"/>
              <w:rPr>
                <w:rFonts w:ascii="Arial" w:eastAsia="Times New Roman" w:hAnsi="Arial" w:cs="Arial"/>
                <w:color w:val="000000"/>
                <w:kern w:val="0"/>
                <w:sz w:val="20"/>
                <w:szCs w:val="20"/>
                <w:lang w:eastAsia="es-MX"/>
                <w14:ligatures w14:val="none"/>
              </w:rPr>
            </w:pPr>
            <w:r w:rsidRPr="00E35442">
              <w:rPr>
                <w:rFonts w:ascii="Arial" w:eastAsia="Times New Roman" w:hAnsi="Arial" w:cs="Arial"/>
                <w:color w:val="000000"/>
                <w:kern w:val="0"/>
                <w:sz w:val="20"/>
                <w:szCs w:val="20"/>
                <w:lang w:eastAsia="es-MX"/>
                <w14:ligatures w14:val="none"/>
              </w:rPr>
              <w:t>Porcentaje</w:t>
            </w:r>
          </w:p>
        </w:tc>
        <w:tc>
          <w:tcPr>
            <w:tcW w:w="3101" w:type="dxa"/>
            <w:tcBorders>
              <w:top w:val="nil"/>
              <w:left w:val="nil"/>
              <w:bottom w:val="single" w:sz="8" w:space="0" w:color="auto"/>
              <w:right w:val="nil"/>
            </w:tcBorders>
            <w:shd w:val="clear" w:color="auto" w:fill="auto"/>
            <w:noWrap/>
            <w:vAlign w:val="center"/>
            <w:hideMark/>
          </w:tcPr>
          <w:p w14:paraId="34F7706E" w14:textId="77777777" w:rsidR="007B2946" w:rsidRPr="00E35442" w:rsidRDefault="007B2946" w:rsidP="005B6C7F">
            <w:pPr>
              <w:spacing w:after="0" w:line="240" w:lineRule="auto"/>
              <w:jc w:val="right"/>
              <w:rPr>
                <w:rFonts w:ascii="Arial" w:eastAsia="Times New Roman" w:hAnsi="Arial" w:cs="Arial"/>
                <w:color w:val="000000"/>
                <w:kern w:val="0"/>
                <w:sz w:val="20"/>
                <w:szCs w:val="20"/>
                <w:lang w:eastAsia="es-MX"/>
                <w14:ligatures w14:val="none"/>
              </w:rPr>
            </w:pPr>
            <w:r w:rsidRPr="00E35442">
              <w:rPr>
                <w:rFonts w:ascii="Arial" w:eastAsia="Times New Roman" w:hAnsi="Arial" w:cs="Arial"/>
                <w:color w:val="000000"/>
                <w:kern w:val="0"/>
                <w:sz w:val="20"/>
                <w:szCs w:val="20"/>
                <w:lang w:eastAsia="es-MX"/>
                <w14:ligatures w14:val="none"/>
              </w:rPr>
              <w:t>13.56%</w:t>
            </w:r>
          </w:p>
        </w:tc>
        <w:tc>
          <w:tcPr>
            <w:tcW w:w="3118" w:type="dxa"/>
            <w:tcBorders>
              <w:top w:val="nil"/>
              <w:left w:val="nil"/>
              <w:bottom w:val="single" w:sz="8" w:space="0" w:color="auto"/>
              <w:right w:val="nil"/>
            </w:tcBorders>
            <w:shd w:val="clear" w:color="auto" w:fill="auto"/>
            <w:noWrap/>
            <w:vAlign w:val="center"/>
            <w:hideMark/>
          </w:tcPr>
          <w:p w14:paraId="13A0EAD4" w14:textId="7738BBBD" w:rsidR="007B2946" w:rsidRPr="005732FC" w:rsidRDefault="00E35442" w:rsidP="005B6C7F">
            <w:pPr>
              <w:spacing w:after="0" w:line="240" w:lineRule="auto"/>
              <w:jc w:val="right"/>
              <w:rPr>
                <w:rFonts w:ascii="Arial" w:eastAsia="Times New Roman" w:hAnsi="Arial" w:cs="Arial"/>
                <w:color w:val="000000"/>
                <w:kern w:val="0"/>
                <w:sz w:val="20"/>
                <w:szCs w:val="20"/>
                <w:lang w:eastAsia="es-MX"/>
                <w14:ligatures w14:val="none"/>
              </w:rPr>
            </w:pPr>
            <w:r w:rsidRPr="00E35442">
              <w:rPr>
                <w:rFonts w:ascii="Arial" w:eastAsia="Times New Roman" w:hAnsi="Arial" w:cs="Arial"/>
                <w:color w:val="000000"/>
                <w:kern w:val="0"/>
                <w:sz w:val="20"/>
                <w:szCs w:val="20"/>
                <w:lang w:eastAsia="es-MX"/>
                <w14:ligatures w14:val="none"/>
              </w:rPr>
              <w:t>28.26%</w:t>
            </w:r>
          </w:p>
        </w:tc>
      </w:tr>
    </w:tbl>
    <w:p w14:paraId="74686614" w14:textId="77777777" w:rsidR="00B77F27" w:rsidRPr="005732FC" w:rsidRDefault="00B77F27" w:rsidP="00D120DB">
      <w:pPr>
        <w:spacing w:after="0"/>
        <w:jc w:val="both"/>
        <w:rPr>
          <w:rFonts w:ascii="Arial" w:hAnsi="Arial" w:cs="Arial"/>
          <w:sz w:val="20"/>
          <w:szCs w:val="20"/>
        </w:rPr>
      </w:pPr>
    </w:p>
    <w:p w14:paraId="44F562DC" w14:textId="77777777" w:rsidR="00B77F27" w:rsidRPr="005732FC" w:rsidRDefault="00B77F27" w:rsidP="00D120DB">
      <w:pPr>
        <w:spacing w:after="0"/>
        <w:jc w:val="both"/>
        <w:rPr>
          <w:rFonts w:ascii="Arial" w:hAnsi="Arial" w:cs="Arial"/>
          <w:sz w:val="20"/>
          <w:szCs w:val="20"/>
        </w:rPr>
      </w:pPr>
    </w:p>
    <w:p w14:paraId="14DE7D5F" w14:textId="77777777" w:rsidR="00B77F27" w:rsidRPr="005732FC" w:rsidRDefault="00B77F27" w:rsidP="00D120DB">
      <w:pPr>
        <w:spacing w:after="0"/>
        <w:jc w:val="both"/>
        <w:rPr>
          <w:rFonts w:ascii="Arial" w:hAnsi="Arial" w:cs="Arial"/>
          <w:sz w:val="20"/>
          <w:szCs w:val="20"/>
        </w:rPr>
      </w:pPr>
    </w:p>
    <w:p w14:paraId="367C6B1F" w14:textId="77777777" w:rsidR="00B77F27" w:rsidRPr="005732FC" w:rsidRDefault="00B77F27" w:rsidP="00D120DB">
      <w:pPr>
        <w:spacing w:after="0"/>
        <w:jc w:val="both"/>
        <w:rPr>
          <w:rFonts w:ascii="Arial" w:hAnsi="Arial" w:cs="Arial"/>
          <w:sz w:val="20"/>
          <w:szCs w:val="20"/>
        </w:rPr>
      </w:pPr>
    </w:p>
    <w:p w14:paraId="5E265449" w14:textId="77777777" w:rsidR="00B77F27" w:rsidRPr="005732FC" w:rsidRDefault="00B77F27" w:rsidP="00D120DB">
      <w:pPr>
        <w:spacing w:after="0"/>
        <w:jc w:val="both"/>
        <w:rPr>
          <w:rFonts w:ascii="Arial" w:hAnsi="Arial" w:cs="Arial"/>
          <w:sz w:val="20"/>
          <w:szCs w:val="20"/>
        </w:rPr>
      </w:pPr>
    </w:p>
    <w:p w14:paraId="78053856" w14:textId="77777777" w:rsidR="008701B2" w:rsidRPr="005732FC" w:rsidRDefault="008701B2" w:rsidP="008A2B96">
      <w:pPr>
        <w:spacing w:after="0"/>
        <w:rPr>
          <w:rFonts w:ascii="Arial" w:hAnsi="Arial" w:cs="Arial"/>
          <w:b/>
          <w:bCs/>
          <w:sz w:val="20"/>
          <w:szCs w:val="20"/>
        </w:rPr>
      </w:pPr>
    </w:p>
    <w:p w14:paraId="0B6BB849" w14:textId="716DDCDF" w:rsidR="008701B2" w:rsidRPr="005732FC" w:rsidRDefault="008701B2" w:rsidP="008A2B96">
      <w:pPr>
        <w:pStyle w:val="Ttulo2"/>
        <w:numPr>
          <w:ilvl w:val="1"/>
          <w:numId w:val="6"/>
        </w:numPr>
        <w:rPr>
          <w:rFonts w:ascii="Arial" w:hAnsi="Arial" w:cs="Arial"/>
          <w:b/>
          <w:bCs/>
          <w:sz w:val="20"/>
          <w:szCs w:val="20"/>
        </w:rPr>
      </w:pPr>
      <w:r w:rsidRPr="005732FC">
        <w:rPr>
          <w:rFonts w:ascii="Arial" w:hAnsi="Arial" w:cs="Arial"/>
          <w:b/>
          <w:bCs/>
          <w:sz w:val="20"/>
          <w:szCs w:val="20"/>
        </w:rPr>
        <w:t>Información de la deuda.</w:t>
      </w:r>
    </w:p>
    <w:p w14:paraId="73125BC8" w14:textId="77777777" w:rsidR="008701B2" w:rsidRPr="005732FC" w:rsidRDefault="008701B2" w:rsidP="008A2B96">
      <w:pPr>
        <w:spacing w:after="0"/>
      </w:pPr>
    </w:p>
    <w:tbl>
      <w:tblPr>
        <w:tblW w:w="8820" w:type="dxa"/>
        <w:tblCellMar>
          <w:left w:w="70" w:type="dxa"/>
          <w:right w:w="70" w:type="dxa"/>
        </w:tblCellMar>
        <w:tblLook w:val="04A0" w:firstRow="1" w:lastRow="0" w:firstColumn="1" w:lastColumn="0" w:noHBand="0" w:noVBand="1"/>
      </w:tblPr>
      <w:tblGrid>
        <w:gridCol w:w="3420"/>
        <w:gridCol w:w="1740"/>
        <w:gridCol w:w="1880"/>
        <w:gridCol w:w="1780"/>
      </w:tblGrid>
      <w:tr w:rsidR="00445BB0" w:rsidRPr="005732FC" w14:paraId="11CE56F5" w14:textId="77777777" w:rsidTr="008C77A6">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61F402D2" w14:textId="77777777" w:rsidR="00445BB0" w:rsidRPr="005732FC" w:rsidRDefault="00445BB0" w:rsidP="00445BB0">
            <w:pPr>
              <w:keepNext/>
              <w:keepLines/>
              <w:spacing w:after="0"/>
              <w:jc w:val="center"/>
              <w:outlineLvl w:val="0"/>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1740" w:type="dxa"/>
            <w:tcBorders>
              <w:top w:val="single" w:sz="8" w:space="0" w:color="auto"/>
              <w:left w:val="nil"/>
              <w:bottom w:val="single" w:sz="8" w:space="0" w:color="auto"/>
              <w:right w:val="nil"/>
            </w:tcBorders>
            <w:shd w:val="clear" w:color="000000" w:fill="D9D9D9"/>
            <w:vAlign w:val="center"/>
            <w:hideMark/>
          </w:tcPr>
          <w:p w14:paraId="691D1485" w14:textId="77777777" w:rsidR="00445BB0" w:rsidRPr="005732FC" w:rsidRDefault="00445BB0" w:rsidP="00445BB0">
            <w:pPr>
              <w:keepNext/>
              <w:keepLines/>
              <w:spacing w:after="0"/>
              <w:jc w:val="center"/>
              <w:outlineLvl w:val="0"/>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2023</w:t>
            </w:r>
          </w:p>
        </w:tc>
        <w:tc>
          <w:tcPr>
            <w:tcW w:w="1880" w:type="dxa"/>
            <w:tcBorders>
              <w:top w:val="single" w:sz="8" w:space="0" w:color="auto"/>
              <w:left w:val="nil"/>
              <w:bottom w:val="single" w:sz="8" w:space="0" w:color="auto"/>
              <w:right w:val="nil"/>
            </w:tcBorders>
            <w:shd w:val="clear" w:color="000000" w:fill="D9D9D9"/>
            <w:vAlign w:val="center"/>
            <w:hideMark/>
          </w:tcPr>
          <w:p w14:paraId="1BA9112E" w14:textId="77777777" w:rsidR="00445BB0" w:rsidRPr="005732FC" w:rsidRDefault="00445BB0" w:rsidP="00445BB0">
            <w:pPr>
              <w:keepNext/>
              <w:keepLines/>
              <w:spacing w:after="0"/>
              <w:jc w:val="center"/>
              <w:outlineLvl w:val="0"/>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2024</w:t>
            </w:r>
          </w:p>
        </w:tc>
        <w:tc>
          <w:tcPr>
            <w:tcW w:w="1780" w:type="dxa"/>
            <w:tcBorders>
              <w:top w:val="single" w:sz="8" w:space="0" w:color="auto"/>
              <w:left w:val="nil"/>
              <w:bottom w:val="single" w:sz="8" w:space="0" w:color="auto"/>
              <w:right w:val="nil"/>
            </w:tcBorders>
            <w:shd w:val="clear" w:color="000000" w:fill="D9D9D9"/>
            <w:vAlign w:val="center"/>
            <w:hideMark/>
          </w:tcPr>
          <w:p w14:paraId="4004C38A" w14:textId="77777777" w:rsidR="00445BB0" w:rsidRPr="005732FC" w:rsidRDefault="00445BB0" w:rsidP="00445BB0">
            <w:pPr>
              <w:keepNext/>
              <w:keepLines/>
              <w:spacing w:after="0"/>
              <w:jc w:val="center"/>
              <w:outlineLvl w:val="0"/>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2025</w:t>
            </w:r>
          </w:p>
        </w:tc>
      </w:tr>
      <w:tr w:rsidR="00445BB0" w:rsidRPr="005732FC" w14:paraId="6AA8C688" w14:textId="77777777" w:rsidTr="008C77A6">
        <w:trPr>
          <w:trHeight w:val="20"/>
        </w:trPr>
        <w:tc>
          <w:tcPr>
            <w:tcW w:w="3420" w:type="dxa"/>
            <w:tcBorders>
              <w:top w:val="single" w:sz="8" w:space="0" w:color="auto"/>
              <w:left w:val="nil"/>
              <w:bottom w:val="nil"/>
              <w:right w:val="nil"/>
            </w:tcBorders>
            <w:shd w:val="clear" w:color="auto" w:fill="auto"/>
            <w:vAlign w:val="center"/>
            <w:hideMark/>
          </w:tcPr>
          <w:p w14:paraId="33EAB5F8" w14:textId="77777777" w:rsidR="00445BB0" w:rsidRPr="005732FC" w:rsidRDefault="00445BB0" w:rsidP="00445BB0">
            <w:pPr>
              <w:keepNext/>
              <w:keepLines/>
              <w:spacing w:after="0"/>
              <w:outlineLvl w:val="0"/>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Banco Azteca crédito 960500528</w:t>
            </w:r>
          </w:p>
        </w:tc>
        <w:tc>
          <w:tcPr>
            <w:tcW w:w="1740" w:type="dxa"/>
            <w:tcBorders>
              <w:top w:val="nil"/>
              <w:left w:val="nil"/>
              <w:bottom w:val="nil"/>
              <w:right w:val="nil"/>
            </w:tcBorders>
            <w:shd w:val="clear" w:color="auto" w:fill="auto"/>
            <w:vAlign w:val="center"/>
            <w:hideMark/>
          </w:tcPr>
          <w:p w14:paraId="4E53B114" w14:textId="77777777" w:rsidR="00445BB0" w:rsidRPr="005732FC" w:rsidRDefault="00445BB0" w:rsidP="00445BB0">
            <w:pPr>
              <w:keepNext/>
              <w:keepLines/>
              <w:spacing w:after="0"/>
              <w:jc w:val="right"/>
              <w:outlineLvl w:val="0"/>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413,939,411.01</w:t>
            </w:r>
          </w:p>
        </w:tc>
        <w:tc>
          <w:tcPr>
            <w:tcW w:w="1880" w:type="dxa"/>
            <w:tcBorders>
              <w:top w:val="nil"/>
              <w:left w:val="nil"/>
              <w:bottom w:val="nil"/>
              <w:right w:val="nil"/>
            </w:tcBorders>
            <w:shd w:val="clear" w:color="auto" w:fill="auto"/>
            <w:vAlign w:val="center"/>
            <w:hideMark/>
          </w:tcPr>
          <w:p w14:paraId="7BBD18C4" w14:textId="77777777" w:rsidR="00445BB0" w:rsidRPr="005732FC" w:rsidRDefault="00445BB0" w:rsidP="00445BB0">
            <w:pPr>
              <w:keepNext/>
              <w:keepLines/>
              <w:spacing w:after="0"/>
              <w:jc w:val="right"/>
              <w:outlineLvl w:val="0"/>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397,630,949.00</w:t>
            </w:r>
          </w:p>
        </w:tc>
        <w:tc>
          <w:tcPr>
            <w:tcW w:w="1780" w:type="dxa"/>
            <w:tcBorders>
              <w:top w:val="nil"/>
              <w:left w:val="nil"/>
              <w:bottom w:val="nil"/>
              <w:right w:val="nil"/>
            </w:tcBorders>
            <w:shd w:val="clear" w:color="auto" w:fill="auto"/>
            <w:vAlign w:val="center"/>
            <w:hideMark/>
          </w:tcPr>
          <w:p w14:paraId="206C0281" w14:textId="77777777" w:rsidR="00445BB0" w:rsidRPr="005732FC" w:rsidRDefault="00445BB0" w:rsidP="00445BB0">
            <w:pPr>
              <w:keepNext/>
              <w:keepLines/>
              <w:spacing w:after="0"/>
              <w:jc w:val="right"/>
              <w:outlineLvl w:val="0"/>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388,478,400.01</w:t>
            </w:r>
          </w:p>
        </w:tc>
      </w:tr>
      <w:tr w:rsidR="00445BB0" w:rsidRPr="005732FC" w14:paraId="0ED06650" w14:textId="77777777" w:rsidTr="008C77A6">
        <w:trPr>
          <w:trHeight w:val="20"/>
        </w:trPr>
        <w:tc>
          <w:tcPr>
            <w:tcW w:w="3420" w:type="dxa"/>
            <w:tcBorders>
              <w:top w:val="nil"/>
              <w:left w:val="nil"/>
              <w:bottom w:val="single" w:sz="8" w:space="0" w:color="auto"/>
              <w:right w:val="nil"/>
            </w:tcBorders>
            <w:shd w:val="clear" w:color="auto" w:fill="auto"/>
            <w:vAlign w:val="center"/>
            <w:hideMark/>
          </w:tcPr>
          <w:p w14:paraId="67D54E08" w14:textId="77777777" w:rsidR="00445BB0" w:rsidRPr="005732FC" w:rsidRDefault="00445BB0" w:rsidP="00445BB0">
            <w:pPr>
              <w:keepNext/>
              <w:keepLines/>
              <w:spacing w:after="0"/>
              <w:outlineLvl w:val="0"/>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Banco BBVA Bancomer crédito 9884444367</w:t>
            </w:r>
          </w:p>
        </w:tc>
        <w:tc>
          <w:tcPr>
            <w:tcW w:w="1740" w:type="dxa"/>
            <w:tcBorders>
              <w:top w:val="nil"/>
              <w:left w:val="nil"/>
              <w:bottom w:val="single" w:sz="8" w:space="0" w:color="auto"/>
              <w:right w:val="nil"/>
            </w:tcBorders>
            <w:shd w:val="clear" w:color="auto" w:fill="auto"/>
            <w:vAlign w:val="center"/>
            <w:hideMark/>
          </w:tcPr>
          <w:p w14:paraId="7D1F880E" w14:textId="77777777" w:rsidR="00445BB0" w:rsidRPr="005732FC" w:rsidRDefault="00445BB0" w:rsidP="00445BB0">
            <w:pPr>
              <w:keepNext/>
              <w:keepLines/>
              <w:spacing w:after="0"/>
              <w:jc w:val="right"/>
              <w:outlineLvl w:val="0"/>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455,967,498.51</w:t>
            </w:r>
          </w:p>
        </w:tc>
        <w:tc>
          <w:tcPr>
            <w:tcW w:w="1880" w:type="dxa"/>
            <w:tcBorders>
              <w:top w:val="nil"/>
              <w:left w:val="nil"/>
              <w:bottom w:val="single" w:sz="8" w:space="0" w:color="auto"/>
              <w:right w:val="nil"/>
            </w:tcBorders>
            <w:shd w:val="clear" w:color="auto" w:fill="auto"/>
            <w:vAlign w:val="center"/>
            <w:hideMark/>
          </w:tcPr>
          <w:p w14:paraId="3DB38AA8" w14:textId="77777777" w:rsidR="00445BB0" w:rsidRPr="005732FC" w:rsidRDefault="00445BB0" w:rsidP="00445BB0">
            <w:pPr>
              <w:keepNext/>
              <w:keepLines/>
              <w:spacing w:after="0"/>
              <w:jc w:val="right"/>
              <w:outlineLvl w:val="0"/>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437,735,969.27</w:t>
            </w:r>
          </w:p>
        </w:tc>
        <w:tc>
          <w:tcPr>
            <w:tcW w:w="1780" w:type="dxa"/>
            <w:tcBorders>
              <w:top w:val="nil"/>
              <w:left w:val="nil"/>
              <w:bottom w:val="single" w:sz="8" w:space="0" w:color="auto"/>
              <w:right w:val="nil"/>
            </w:tcBorders>
            <w:shd w:val="clear" w:color="auto" w:fill="auto"/>
            <w:vAlign w:val="center"/>
            <w:hideMark/>
          </w:tcPr>
          <w:p w14:paraId="2BDB1564" w14:textId="77777777" w:rsidR="00445BB0" w:rsidRPr="005732FC" w:rsidRDefault="00445BB0" w:rsidP="00445BB0">
            <w:pPr>
              <w:keepNext/>
              <w:keepLines/>
              <w:spacing w:after="0"/>
              <w:jc w:val="right"/>
              <w:outlineLvl w:val="0"/>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428,231,686.88</w:t>
            </w:r>
          </w:p>
        </w:tc>
      </w:tr>
      <w:tr w:rsidR="00445BB0" w:rsidRPr="005732FC" w14:paraId="74370DDC" w14:textId="77777777" w:rsidTr="008C77A6">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6BF1BB64" w14:textId="77777777" w:rsidR="00445BB0" w:rsidRPr="005732FC" w:rsidRDefault="00445BB0" w:rsidP="00445BB0">
            <w:pPr>
              <w:keepNext/>
              <w:keepLines/>
              <w:spacing w:after="0"/>
              <w:outlineLvl w:val="0"/>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Préstamos de la Deuda Pública Interna por Pagar a Largo Plazo</w:t>
            </w:r>
          </w:p>
        </w:tc>
        <w:tc>
          <w:tcPr>
            <w:tcW w:w="1740" w:type="dxa"/>
            <w:tcBorders>
              <w:top w:val="nil"/>
              <w:left w:val="nil"/>
              <w:bottom w:val="single" w:sz="8" w:space="0" w:color="auto"/>
              <w:right w:val="nil"/>
            </w:tcBorders>
            <w:shd w:val="clear" w:color="000000" w:fill="D9D9D9"/>
            <w:vAlign w:val="center"/>
            <w:hideMark/>
          </w:tcPr>
          <w:p w14:paraId="33AECB3D" w14:textId="77777777" w:rsidR="00445BB0" w:rsidRPr="005732FC" w:rsidRDefault="00445BB0" w:rsidP="00445BB0">
            <w:pPr>
              <w:keepNext/>
              <w:keepLines/>
              <w:spacing w:after="0"/>
              <w:jc w:val="right"/>
              <w:outlineLvl w:val="0"/>
              <w:rPr>
                <w:rFonts w:ascii="Arial" w:eastAsia="Times New Roman" w:hAnsi="Arial" w:cs="Arial"/>
                <w:b/>
                <w:bCs/>
                <w:color w:val="000000"/>
                <w:kern w:val="0"/>
                <w:sz w:val="20"/>
                <w:szCs w:val="20"/>
                <w:lang w:eastAsia="es-MX"/>
                <w14:ligatures w14:val="none"/>
              </w:rPr>
            </w:pPr>
            <w:r w:rsidRPr="005732FC">
              <w:rPr>
                <w:rFonts w:ascii="Arial" w:eastAsiaTheme="majorEastAsia" w:hAnsi="Arial" w:cs="Arial"/>
                <w:b/>
                <w:bCs/>
                <w:color w:val="000000"/>
                <w:sz w:val="20"/>
                <w:szCs w:val="20"/>
              </w:rPr>
              <w:t>869,906,909.52</w:t>
            </w:r>
          </w:p>
        </w:tc>
        <w:tc>
          <w:tcPr>
            <w:tcW w:w="1880" w:type="dxa"/>
            <w:tcBorders>
              <w:top w:val="nil"/>
              <w:left w:val="nil"/>
              <w:bottom w:val="single" w:sz="8" w:space="0" w:color="auto"/>
              <w:right w:val="nil"/>
            </w:tcBorders>
            <w:shd w:val="clear" w:color="000000" w:fill="D9D9D9"/>
            <w:vAlign w:val="center"/>
            <w:hideMark/>
          </w:tcPr>
          <w:p w14:paraId="53B7A9D1" w14:textId="77777777" w:rsidR="00445BB0" w:rsidRPr="005732FC" w:rsidRDefault="00445BB0" w:rsidP="00445BB0">
            <w:pPr>
              <w:keepNext/>
              <w:keepLines/>
              <w:spacing w:after="0"/>
              <w:jc w:val="right"/>
              <w:outlineLvl w:val="0"/>
              <w:rPr>
                <w:rFonts w:ascii="Arial" w:eastAsia="Times New Roman" w:hAnsi="Arial" w:cs="Arial"/>
                <w:b/>
                <w:bCs/>
                <w:color w:val="000000"/>
                <w:kern w:val="0"/>
                <w:sz w:val="20"/>
                <w:szCs w:val="20"/>
                <w:lang w:eastAsia="es-MX"/>
                <w14:ligatures w14:val="none"/>
              </w:rPr>
            </w:pPr>
            <w:r w:rsidRPr="005732FC">
              <w:rPr>
                <w:rFonts w:ascii="Arial" w:eastAsiaTheme="majorEastAsia" w:hAnsi="Arial" w:cs="Arial"/>
                <w:b/>
                <w:bCs/>
                <w:color w:val="000000"/>
                <w:sz w:val="20"/>
                <w:szCs w:val="20"/>
              </w:rPr>
              <w:t>835,366,918.27</w:t>
            </w:r>
          </w:p>
        </w:tc>
        <w:tc>
          <w:tcPr>
            <w:tcW w:w="1780" w:type="dxa"/>
            <w:tcBorders>
              <w:top w:val="nil"/>
              <w:left w:val="nil"/>
              <w:bottom w:val="single" w:sz="8" w:space="0" w:color="auto"/>
              <w:right w:val="nil"/>
            </w:tcBorders>
            <w:shd w:val="clear" w:color="000000" w:fill="D9D9D9"/>
            <w:vAlign w:val="center"/>
            <w:hideMark/>
          </w:tcPr>
          <w:p w14:paraId="47FA9BC7" w14:textId="77777777" w:rsidR="00445BB0" w:rsidRPr="005732FC" w:rsidRDefault="00445BB0" w:rsidP="00445BB0">
            <w:pPr>
              <w:keepNext/>
              <w:keepLines/>
              <w:spacing w:after="0"/>
              <w:jc w:val="right"/>
              <w:outlineLvl w:val="0"/>
              <w:rPr>
                <w:rFonts w:ascii="Arial" w:eastAsia="Times New Roman" w:hAnsi="Arial" w:cs="Arial"/>
                <w:b/>
                <w:bCs/>
                <w:color w:val="000000"/>
                <w:kern w:val="0"/>
                <w:sz w:val="20"/>
                <w:szCs w:val="20"/>
                <w:lang w:eastAsia="es-MX"/>
                <w14:ligatures w14:val="none"/>
              </w:rPr>
            </w:pPr>
            <w:r w:rsidRPr="005732FC">
              <w:rPr>
                <w:rFonts w:ascii="Arial" w:eastAsiaTheme="majorEastAsia" w:hAnsi="Arial" w:cs="Arial"/>
                <w:b/>
                <w:bCs/>
                <w:color w:val="000000"/>
                <w:sz w:val="20"/>
                <w:szCs w:val="20"/>
              </w:rPr>
              <w:t>816,710,086.89</w:t>
            </w:r>
          </w:p>
        </w:tc>
      </w:tr>
    </w:tbl>
    <w:p w14:paraId="3501D1DC" w14:textId="77777777" w:rsidR="007B2946" w:rsidRPr="005732FC" w:rsidRDefault="007B2946" w:rsidP="007B2946">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1DCB360" w14:textId="11C816F5" w:rsidR="007B2946" w:rsidRPr="005732FC" w:rsidRDefault="007B2946" w:rsidP="007B2946">
      <w:pPr>
        <w:spacing w:after="0"/>
        <w:jc w:val="both"/>
        <w:rPr>
          <w:rFonts w:ascii="Arial" w:hAnsi="Arial" w:cs="Arial"/>
          <w:sz w:val="20"/>
          <w:szCs w:val="20"/>
        </w:rPr>
      </w:pPr>
      <w:r w:rsidRPr="005732FC">
        <w:rPr>
          <w:rFonts w:ascii="Arial" w:hAnsi="Arial" w:cs="Arial"/>
          <w:sz w:val="20"/>
          <w:szCs w:val="20"/>
        </w:rPr>
        <w:lastRenderedPageBreak/>
        <w:t>A continuación, se muestra el cuadro con la reducción del saldo de la deuda pública bruta total con motivo de cada una de las amortizaciones:</w:t>
      </w:r>
    </w:p>
    <w:p w14:paraId="44255F30" w14:textId="77777777" w:rsidR="00445BB0" w:rsidRPr="005732FC" w:rsidRDefault="00445BB0" w:rsidP="007B2946">
      <w:pPr>
        <w:spacing w:after="0"/>
        <w:jc w:val="both"/>
        <w:rPr>
          <w:rFonts w:ascii="Arial" w:hAnsi="Arial" w:cs="Arial"/>
          <w:sz w:val="20"/>
          <w:szCs w:val="20"/>
        </w:rPr>
      </w:pPr>
    </w:p>
    <w:tbl>
      <w:tblPr>
        <w:tblW w:w="7040" w:type="dxa"/>
        <w:tblCellMar>
          <w:left w:w="70" w:type="dxa"/>
          <w:right w:w="70" w:type="dxa"/>
        </w:tblCellMar>
        <w:tblLook w:val="04A0" w:firstRow="1" w:lastRow="0" w:firstColumn="1" w:lastColumn="0" w:noHBand="0" w:noVBand="1"/>
      </w:tblPr>
      <w:tblGrid>
        <w:gridCol w:w="5160"/>
        <w:gridCol w:w="1880"/>
      </w:tblGrid>
      <w:tr w:rsidR="00445BB0" w:rsidRPr="005732FC" w14:paraId="097D638F" w14:textId="77777777" w:rsidTr="008C77A6">
        <w:trPr>
          <w:trHeight w:val="20"/>
          <w:tblHeader/>
        </w:trPr>
        <w:tc>
          <w:tcPr>
            <w:tcW w:w="5160" w:type="dxa"/>
            <w:tcBorders>
              <w:top w:val="single" w:sz="8" w:space="0" w:color="auto"/>
              <w:left w:val="nil"/>
              <w:bottom w:val="single" w:sz="8" w:space="0" w:color="auto"/>
              <w:right w:val="nil"/>
            </w:tcBorders>
            <w:shd w:val="clear" w:color="000000" w:fill="D9D9D9"/>
            <w:noWrap/>
            <w:vAlign w:val="center"/>
            <w:hideMark/>
          </w:tcPr>
          <w:p w14:paraId="20E1B057" w14:textId="77777777" w:rsidR="00445BB0" w:rsidRPr="005732FC" w:rsidRDefault="00445BB0"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1880" w:type="dxa"/>
            <w:tcBorders>
              <w:top w:val="single" w:sz="8" w:space="0" w:color="auto"/>
              <w:left w:val="nil"/>
              <w:bottom w:val="single" w:sz="8" w:space="0" w:color="auto"/>
              <w:right w:val="nil"/>
            </w:tcBorders>
            <w:shd w:val="clear" w:color="000000" w:fill="D9D9D9"/>
            <w:noWrap/>
            <w:vAlign w:val="center"/>
            <w:hideMark/>
          </w:tcPr>
          <w:p w14:paraId="0D36C703" w14:textId="77777777" w:rsidR="00445BB0" w:rsidRPr="005732FC" w:rsidRDefault="00445BB0"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Importe</w:t>
            </w:r>
          </w:p>
        </w:tc>
      </w:tr>
      <w:tr w:rsidR="00445BB0" w:rsidRPr="005732FC" w14:paraId="041E2585" w14:textId="77777777" w:rsidTr="008C77A6">
        <w:trPr>
          <w:trHeight w:val="20"/>
        </w:trPr>
        <w:tc>
          <w:tcPr>
            <w:tcW w:w="5160" w:type="dxa"/>
            <w:tcBorders>
              <w:top w:val="single" w:sz="8" w:space="0" w:color="auto"/>
              <w:left w:val="nil"/>
              <w:bottom w:val="nil"/>
              <w:right w:val="nil"/>
            </w:tcBorders>
            <w:shd w:val="clear" w:color="auto" w:fill="auto"/>
            <w:noWrap/>
            <w:vAlign w:val="center"/>
            <w:hideMark/>
          </w:tcPr>
          <w:p w14:paraId="2A611188"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Deuda Pública Bruta Total al 31 de diciembre de 2024</w:t>
            </w:r>
          </w:p>
        </w:tc>
        <w:tc>
          <w:tcPr>
            <w:tcW w:w="1880" w:type="dxa"/>
            <w:tcBorders>
              <w:top w:val="nil"/>
              <w:left w:val="nil"/>
              <w:bottom w:val="nil"/>
              <w:right w:val="nil"/>
            </w:tcBorders>
            <w:shd w:val="clear" w:color="auto" w:fill="auto"/>
            <w:noWrap/>
            <w:vAlign w:val="center"/>
            <w:hideMark/>
          </w:tcPr>
          <w:p w14:paraId="68EA6B2A"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835,366,918.27</w:t>
            </w:r>
          </w:p>
        </w:tc>
      </w:tr>
      <w:tr w:rsidR="00445BB0" w:rsidRPr="005732FC" w14:paraId="29859286" w14:textId="77777777" w:rsidTr="008C77A6">
        <w:trPr>
          <w:trHeight w:val="20"/>
        </w:trPr>
        <w:tc>
          <w:tcPr>
            <w:tcW w:w="5160" w:type="dxa"/>
            <w:tcBorders>
              <w:top w:val="nil"/>
              <w:left w:val="nil"/>
              <w:bottom w:val="nil"/>
              <w:right w:val="nil"/>
            </w:tcBorders>
            <w:shd w:val="clear" w:color="auto" w:fill="auto"/>
            <w:noWrap/>
            <w:vAlign w:val="center"/>
            <w:hideMark/>
          </w:tcPr>
          <w:p w14:paraId="13920B14"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Amortización 1</w:t>
            </w:r>
          </w:p>
        </w:tc>
        <w:tc>
          <w:tcPr>
            <w:tcW w:w="1880" w:type="dxa"/>
            <w:tcBorders>
              <w:top w:val="nil"/>
              <w:left w:val="nil"/>
              <w:bottom w:val="nil"/>
              <w:right w:val="nil"/>
            </w:tcBorders>
            <w:shd w:val="clear" w:color="auto" w:fill="auto"/>
            <w:noWrap/>
            <w:vAlign w:val="center"/>
            <w:hideMark/>
          </w:tcPr>
          <w:p w14:paraId="64BFB4BD"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3,009,936.74</w:t>
            </w:r>
          </w:p>
        </w:tc>
      </w:tr>
      <w:tr w:rsidR="00445BB0" w:rsidRPr="005732FC" w14:paraId="71398392" w14:textId="77777777" w:rsidTr="008C77A6">
        <w:trPr>
          <w:trHeight w:val="20"/>
        </w:trPr>
        <w:tc>
          <w:tcPr>
            <w:tcW w:w="5160" w:type="dxa"/>
            <w:tcBorders>
              <w:top w:val="nil"/>
              <w:left w:val="nil"/>
              <w:bottom w:val="nil"/>
              <w:right w:val="nil"/>
            </w:tcBorders>
            <w:shd w:val="clear" w:color="auto" w:fill="auto"/>
            <w:noWrap/>
            <w:vAlign w:val="center"/>
          </w:tcPr>
          <w:p w14:paraId="0452ECAF"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Deuda Pública Bruta Total al 31 de enero 2025                    </w:t>
            </w:r>
          </w:p>
        </w:tc>
        <w:tc>
          <w:tcPr>
            <w:tcW w:w="1880" w:type="dxa"/>
            <w:tcBorders>
              <w:top w:val="nil"/>
              <w:left w:val="nil"/>
              <w:bottom w:val="nil"/>
              <w:right w:val="nil"/>
            </w:tcBorders>
            <w:shd w:val="clear" w:color="auto" w:fill="auto"/>
            <w:noWrap/>
            <w:vAlign w:val="center"/>
          </w:tcPr>
          <w:p w14:paraId="7C4EAC6B"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832,356,981.53</w:t>
            </w:r>
          </w:p>
        </w:tc>
      </w:tr>
      <w:tr w:rsidR="00445BB0" w:rsidRPr="005732FC" w14:paraId="3B3FB2AE" w14:textId="77777777" w:rsidTr="008C77A6">
        <w:trPr>
          <w:trHeight w:val="20"/>
        </w:trPr>
        <w:tc>
          <w:tcPr>
            <w:tcW w:w="5160" w:type="dxa"/>
            <w:tcBorders>
              <w:top w:val="nil"/>
              <w:left w:val="nil"/>
              <w:bottom w:val="nil"/>
              <w:right w:val="nil"/>
            </w:tcBorders>
            <w:shd w:val="clear" w:color="auto" w:fill="auto"/>
            <w:noWrap/>
            <w:vAlign w:val="center"/>
          </w:tcPr>
          <w:p w14:paraId="46797E3C"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Amortización 2</w:t>
            </w:r>
          </w:p>
        </w:tc>
        <w:tc>
          <w:tcPr>
            <w:tcW w:w="1880" w:type="dxa"/>
            <w:tcBorders>
              <w:top w:val="nil"/>
              <w:left w:val="nil"/>
              <w:bottom w:val="nil"/>
              <w:right w:val="nil"/>
            </w:tcBorders>
            <w:shd w:val="clear" w:color="auto" w:fill="auto"/>
            <w:noWrap/>
            <w:vAlign w:val="center"/>
          </w:tcPr>
          <w:p w14:paraId="3DECA9ED"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3,049,065.91</w:t>
            </w:r>
          </w:p>
        </w:tc>
      </w:tr>
      <w:tr w:rsidR="00445BB0" w:rsidRPr="005732FC" w14:paraId="6ED78E49" w14:textId="77777777" w:rsidTr="008C77A6">
        <w:trPr>
          <w:trHeight w:val="20"/>
        </w:trPr>
        <w:tc>
          <w:tcPr>
            <w:tcW w:w="5160" w:type="dxa"/>
            <w:tcBorders>
              <w:top w:val="nil"/>
              <w:left w:val="nil"/>
              <w:bottom w:val="nil"/>
              <w:right w:val="nil"/>
            </w:tcBorders>
            <w:shd w:val="clear" w:color="auto" w:fill="auto"/>
            <w:noWrap/>
            <w:vAlign w:val="center"/>
          </w:tcPr>
          <w:p w14:paraId="15B67EED"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Deuda Pública Bruta Total al 28 de febrero 2025</w:t>
            </w:r>
          </w:p>
        </w:tc>
        <w:tc>
          <w:tcPr>
            <w:tcW w:w="1880" w:type="dxa"/>
            <w:tcBorders>
              <w:top w:val="nil"/>
              <w:left w:val="nil"/>
              <w:bottom w:val="nil"/>
              <w:right w:val="nil"/>
            </w:tcBorders>
            <w:shd w:val="clear" w:color="auto" w:fill="auto"/>
            <w:noWrap/>
            <w:vAlign w:val="center"/>
          </w:tcPr>
          <w:p w14:paraId="1530090A"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829,307,915.62</w:t>
            </w:r>
          </w:p>
        </w:tc>
      </w:tr>
      <w:tr w:rsidR="00445BB0" w:rsidRPr="005732FC" w14:paraId="758EEFE7" w14:textId="77777777" w:rsidTr="008C77A6">
        <w:trPr>
          <w:trHeight w:val="20"/>
        </w:trPr>
        <w:tc>
          <w:tcPr>
            <w:tcW w:w="5160" w:type="dxa"/>
            <w:tcBorders>
              <w:top w:val="nil"/>
              <w:left w:val="nil"/>
              <w:bottom w:val="nil"/>
              <w:right w:val="nil"/>
            </w:tcBorders>
            <w:shd w:val="clear" w:color="auto" w:fill="auto"/>
            <w:noWrap/>
            <w:vAlign w:val="center"/>
          </w:tcPr>
          <w:p w14:paraId="5E7A7590"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Amortización 3</w:t>
            </w:r>
          </w:p>
        </w:tc>
        <w:tc>
          <w:tcPr>
            <w:tcW w:w="1880" w:type="dxa"/>
            <w:tcBorders>
              <w:top w:val="nil"/>
              <w:left w:val="nil"/>
              <w:bottom w:val="nil"/>
              <w:right w:val="nil"/>
            </w:tcBorders>
            <w:shd w:val="clear" w:color="auto" w:fill="auto"/>
            <w:noWrap/>
            <w:vAlign w:val="center"/>
          </w:tcPr>
          <w:p w14:paraId="1AFCF6A6"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3,088,703.77</w:t>
            </w:r>
          </w:p>
        </w:tc>
      </w:tr>
      <w:tr w:rsidR="00445BB0" w:rsidRPr="005732FC" w14:paraId="24433F4F" w14:textId="77777777" w:rsidTr="008C77A6">
        <w:trPr>
          <w:trHeight w:val="20"/>
        </w:trPr>
        <w:tc>
          <w:tcPr>
            <w:tcW w:w="5160" w:type="dxa"/>
            <w:tcBorders>
              <w:top w:val="nil"/>
              <w:left w:val="nil"/>
              <w:bottom w:val="nil"/>
              <w:right w:val="nil"/>
            </w:tcBorders>
            <w:shd w:val="clear" w:color="auto" w:fill="auto"/>
            <w:noWrap/>
            <w:vAlign w:val="center"/>
          </w:tcPr>
          <w:p w14:paraId="07967A91"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Deuda Pública Bruta Total al 31 de marzo 2025</w:t>
            </w:r>
          </w:p>
        </w:tc>
        <w:tc>
          <w:tcPr>
            <w:tcW w:w="1880" w:type="dxa"/>
            <w:tcBorders>
              <w:top w:val="nil"/>
              <w:left w:val="nil"/>
              <w:bottom w:val="nil"/>
              <w:right w:val="nil"/>
            </w:tcBorders>
            <w:shd w:val="clear" w:color="auto" w:fill="auto"/>
            <w:noWrap/>
            <w:vAlign w:val="center"/>
          </w:tcPr>
          <w:p w14:paraId="32E8B3B7"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826,219,211.85</w:t>
            </w:r>
          </w:p>
        </w:tc>
      </w:tr>
      <w:tr w:rsidR="00445BB0" w:rsidRPr="005732FC" w14:paraId="49BD3849" w14:textId="77777777" w:rsidTr="008C77A6">
        <w:trPr>
          <w:trHeight w:val="20"/>
        </w:trPr>
        <w:tc>
          <w:tcPr>
            <w:tcW w:w="5160" w:type="dxa"/>
            <w:tcBorders>
              <w:top w:val="nil"/>
              <w:left w:val="nil"/>
              <w:bottom w:val="nil"/>
              <w:right w:val="nil"/>
            </w:tcBorders>
            <w:shd w:val="clear" w:color="auto" w:fill="auto"/>
            <w:noWrap/>
            <w:vAlign w:val="center"/>
          </w:tcPr>
          <w:p w14:paraId="42E08CA5"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Amortización 4</w:t>
            </w:r>
          </w:p>
        </w:tc>
        <w:tc>
          <w:tcPr>
            <w:tcW w:w="1880" w:type="dxa"/>
            <w:tcBorders>
              <w:top w:val="nil"/>
              <w:left w:val="nil"/>
              <w:bottom w:val="nil"/>
              <w:right w:val="nil"/>
            </w:tcBorders>
            <w:shd w:val="clear" w:color="auto" w:fill="auto"/>
            <w:noWrap/>
            <w:vAlign w:val="center"/>
          </w:tcPr>
          <w:p w14:paraId="3B8072B4"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3,128,856.92</w:t>
            </w:r>
          </w:p>
        </w:tc>
      </w:tr>
      <w:tr w:rsidR="00445BB0" w:rsidRPr="005732FC" w14:paraId="00A9D873" w14:textId="77777777" w:rsidTr="008C77A6">
        <w:trPr>
          <w:trHeight w:val="20"/>
        </w:trPr>
        <w:tc>
          <w:tcPr>
            <w:tcW w:w="5160" w:type="dxa"/>
            <w:tcBorders>
              <w:top w:val="nil"/>
              <w:left w:val="nil"/>
              <w:bottom w:val="nil"/>
              <w:right w:val="nil"/>
            </w:tcBorders>
            <w:shd w:val="clear" w:color="auto" w:fill="auto"/>
            <w:noWrap/>
            <w:vAlign w:val="center"/>
          </w:tcPr>
          <w:p w14:paraId="7B251AA3"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Deuda Pública Bruta Total al 30 de abril 2025</w:t>
            </w:r>
          </w:p>
        </w:tc>
        <w:tc>
          <w:tcPr>
            <w:tcW w:w="1880" w:type="dxa"/>
            <w:tcBorders>
              <w:top w:val="nil"/>
              <w:left w:val="nil"/>
              <w:bottom w:val="nil"/>
              <w:right w:val="nil"/>
            </w:tcBorders>
            <w:shd w:val="clear" w:color="auto" w:fill="auto"/>
            <w:noWrap/>
            <w:vAlign w:val="center"/>
          </w:tcPr>
          <w:p w14:paraId="597BE26A"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823,090,354.93</w:t>
            </w:r>
          </w:p>
        </w:tc>
      </w:tr>
      <w:tr w:rsidR="00445BB0" w:rsidRPr="005732FC" w14:paraId="3CA7C485" w14:textId="77777777" w:rsidTr="008C77A6">
        <w:trPr>
          <w:trHeight w:val="20"/>
        </w:trPr>
        <w:tc>
          <w:tcPr>
            <w:tcW w:w="5160" w:type="dxa"/>
            <w:tcBorders>
              <w:top w:val="nil"/>
              <w:left w:val="nil"/>
              <w:bottom w:val="nil"/>
              <w:right w:val="nil"/>
            </w:tcBorders>
            <w:shd w:val="clear" w:color="auto" w:fill="auto"/>
            <w:noWrap/>
            <w:vAlign w:val="center"/>
          </w:tcPr>
          <w:p w14:paraId="0EE16263"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Amortización 5</w:t>
            </w:r>
          </w:p>
        </w:tc>
        <w:tc>
          <w:tcPr>
            <w:tcW w:w="1880" w:type="dxa"/>
            <w:tcBorders>
              <w:top w:val="nil"/>
              <w:left w:val="nil"/>
              <w:bottom w:val="nil"/>
              <w:right w:val="nil"/>
            </w:tcBorders>
            <w:shd w:val="clear" w:color="auto" w:fill="auto"/>
            <w:noWrap/>
            <w:vAlign w:val="center"/>
          </w:tcPr>
          <w:p w14:paraId="778822B0"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445BB0" w:rsidRPr="005732FC" w14:paraId="6A789754" w14:textId="77777777" w:rsidTr="008C77A6">
        <w:trPr>
          <w:trHeight w:val="20"/>
        </w:trPr>
        <w:tc>
          <w:tcPr>
            <w:tcW w:w="5160" w:type="dxa"/>
            <w:tcBorders>
              <w:top w:val="nil"/>
              <w:left w:val="nil"/>
              <w:bottom w:val="nil"/>
              <w:right w:val="nil"/>
            </w:tcBorders>
            <w:shd w:val="clear" w:color="auto" w:fill="auto"/>
            <w:noWrap/>
            <w:vAlign w:val="center"/>
          </w:tcPr>
          <w:p w14:paraId="0B2AE6E1" w14:textId="74C1AB12"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Deuda Pública Bruta Total al 3</w:t>
            </w:r>
            <w:r w:rsidR="009008DF" w:rsidRPr="005732FC">
              <w:rPr>
                <w:rFonts w:ascii="Arial" w:eastAsia="Times New Roman" w:hAnsi="Arial" w:cs="Arial"/>
                <w:color w:val="000000"/>
                <w:kern w:val="0"/>
                <w:sz w:val="20"/>
                <w:szCs w:val="20"/>
                <w:lang w:eastAsia="es-MX"/>
                <w14:ligatures w14:val="none"/>
              </w:rPr>
              <w:t>1</w:t>
            </w:r>
            <w:r w:rsidRPr="005732FC">
              <w:rPr>
                <w:rFonts w:ascii="Arial" w:eastAsia="Times New Roman" w:hAnsi="Arial" w:cs="Arial"/>
                <w:color w:val="000000"/>
                <w:kern w:val="0"/>
                <w:sz w:val="20"/>
                <w:szCs w:val="20"/>
                <w:lang w:eastAsia="es-MX"/>
                <w14:ligatures w14:val="none"/>
              </w:rPr>
              <w:t xml:space="preserve"> de mayo 2025</w:t>
            </w:r>
          </w:p>
        </w:tc>
        <w:tc>
          <w:tcPr>
            <w:tcW w:w="1880" w:type="dxa"/>
            <w:tcBorders>
              <w:top w:val="nil"/>
              <w:left w:val="nil"/>
              <w:bottom w:val="nil"/>
              <w:right w:val="nil"/>
            </w:tcBorders>
            <w:shd w:val="clear" w:color="auto" w:fill="auto"/>
            <w:noWrap/>
            <w:vAlign w:val="center"/>
          </w:tcPr>
          <w:p w14:paraId="07E800EF"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823,090,354.93</w:t>
            </w:r>
          </w:p>
        </w:tc>
      </w:tr>
      <w:tr w:rsidR="00445BB0" w:rsidRPr="005732FC" w14:paraId="7F128C9A" w14:textId="77777777" w:rsidTr="008C77A6">
        <w:trPr>
          <w:trHeight w:val="20"/>
        </w:trPr>
        <w:tc>
          <w:tcPr>
            <w:tcW w:w="5160" w:type="dxa"/>
            <w:tcBorders>
              <w:top w:val="nil"/>
              <w:left w:val="nil"/>
              <w:bottom w:val="nil"/>
              <w:right w:val="nil"/>
            </w:tcBorders>
            <w:shd w:val="clear" w:color="auto" w:fill="auto"/>
            <w:noWrap/>
            <w:vAlign w:val="center"/>
          </w:tcPr>
          <w:p w14:paraId="2F526ECC"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Amortización 6</w:t>
            </w:r>
          </w:p>
        </w:tc>
        <w:tc>
          <w:tcPr>
            <w:tcW w:w="1880" w:type="dxa"/>
            <w:tcBorders>
              <w:top w:val="nil"/>
              <w:left w:val="nil"/>
              <w:bottom w:val="nil"/>
              <w:right w:val="nil"/>
            </w:tcBorders>
            <w:shd w:val="clear" w:color="auto" w:fill="auto"/>
            <w:noWrap/>
            <w:vAlign w:val="center"/>
          </w:tcPr>
          <w:p w14:paraId="08715690"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6,380,268.04</w:t>
            </w:r>
          </w:p>
        </w:tc>
      </w:tr>
      <w:tr w:rsidR="00445BB0" w:rsidRPr="005732FC" w14:paraId="33B10ADE" w14:textId="77777777" w:rsidTr="008C77A6">
        <w:trPr>
          <w:trHeight w:val="20"/>
        </w:trPr>
        <w:tc>
          <w:tcPr>
            <w:tcW w:w="5160" w:type="dxa"/>
            <w:tcBorders>
              <w:top w:val="single" w:sz="8" w:space="0" w:color="auto"/>
              <w:left w:val="nil"/>
              <w:bottom w:val="single" w:sz="8" w:space="0" w:color="auto"/>
              <w:right w:val="nil"/>
            </w:tcBorders>
            <w:shd w:val="clear" w:color="000000" w:fill="D9D9D9"/>
            <w:noWrap/>
            <w:vAlign w:val="center"/>
            <w:hideMark/>
          </w:tcPr>
          <w:p w14:paraId="05A8FC4A" w14:textId="77777777" w:rsidR="00445BB0" w:rsidRPr="005732FC" w:rsidRDefault="00445BB0"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Deuda Pública Bruta Total al 30 de junio 2025</w:t>
            </w:r>
          </w:p>
        </w:tc>
        <w:tc>
          <w:tcPr>
            <w:tcW w:w="1880" w:type="dxa"/>
            <w:tcBorders>
              <w:top w:val="single" w:sz="8" w:space="0" w:color="auto"/>
              <w:left w:val="nil"/>
              <w:bottom w:val="single" w:sz="8" w:space="0" w:color="auto"/>
              <w:right w:val="nil"/>
            </w:tcBorders>
            <w:shd w:val="clear" w:color="000000" w:fill="D9D9D9"/>
            <w:noWrap/>
            <w:vAlign w:val="center"/>
            <w:hideMark/>
          </w:tcPr>
          <w:p w14:paraId="3EE35E9A" w14:textId="04152438" w:rsidR="00445BB0" w:rsidRPr="005732FC" w:rsidRDefault="00445BB0"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816</w:t>
            </w:r>
            <w:r w:rsidR="009B4535">
              <w:rPr>
                <w:rFonts w:ascii="Arial" w:eastAsia="Times New Roman" w:hAnsi="Arial" w:cs="Arial"/>
                <w:b/>
                <w:bCs/>
                <w:color w:val="000000"/>
                <w:kern w:val="0"/>
                <w:sz w:val="20"/>
                <w:szCs w:val="20"/>
                <w:lang w:eastAsia="es-MX"/>
                <w14:ligatures w14:val="none"/>
              </w:rPr>
              <w:t>,</w:t>
            </w:r>
            <w:r w:rsidRPr="005732FC">
              <w:rPr>
                <w:rFonts w:ascii="Arial" w:eastAsia="Times New Roman" w:hAnsi="Arial" w:cs="Arial"/>
                <w:b/>
                <w:bCs/>
                <w:color w:val="000000"/>
                <w:kern w:val="0"/>
                <w:sz w:val="20"/>
                <w:szCs w:val="20"/>
                <w:lang w:eastAsia="es-MX"/>
                <w14:ligatures w14:val="none"/>
              </w:rPr>
              <w:t>710,086.89</w:t>
            </w:r>
          </w:p>
        </w:tc>
      </w:tr>
    </w:tbl>
    <w:p w14:paraId="2ADA242C" w14:textId="77777777" w:rsidR="007B2946" w:rsidRPr="005732FC" w:rsidRDefault="007B2946" w:rsidP="007B2946">
      <w:pPr>
        <w:spacing w:after="0"/>
        <w:jc w:val="both"/>
        <w:rPr>
          <w:rFonts w:ascii="Arial" w:hAnsi="Arial" w:cs="Arial"/>
          <w:sz w:val="20"/>
          <w:szCs w:val="20"/>
        </w:rPr>
      </w:pPr>
    </w:p>
    <w:p w14:paraId="2CFC4E7A" w14:textId="306CC978" w:rsidR="00445BB0" w:rsidRPr="005732FC" w:rsidRDefault="00BA3347" w:rsidP="00445BB0">
      <w:pPr>
        <w:pStyle w:val="Ttulo1"/>
        <w:numPr>
          <w:ilvl w:val="0"/>
          <w:numId w:val="6"/>
        </w:numPr>
        <w:ind w:left="0"/>
        <w:rPr>
          <w:rFonts w:ascii="Arial" w:hAnsi="Arial" w:cs="Arial"/>
          <w:b/>
          <w:bCs/>
          <w:sz w:val="20"/>
          <w:szCs w:val="20"/>
        </w:rPr>
      </w:pPr>
      <w:r w:rsidRPr="005732FC">
        <w:rPr>
          <w:rFonts w:ascii="Arial" w:hAnsi="Arial" w:cs="Arial"/>
          <w:b/>
          <w:bCs/>
          <w:color w:val="auto"/>
          <w:sz w:val="20"/>
          <w:szCs w:val="20"/>
        </w:rPr>
        <w:t>Calificaciones otorgadas.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5E00FEA1" w14:textId="77777777" w:rsidR="00FE745A" w:rsidRPr="005732FC" w:rsidRDefault="00FE745A" w:rsidP="00445BB0">
      <w:pPr>
        <w:rPr>
          <w:b/>
        </w:rPr>
      </w:pPr>
    </w:p>
    <w:p w14:paraId="3CE14BFA" w14:textId="01BA2A9A" w:rsidR="00445BB0" w:rsidRPr="005732FC" w:rsidRDefault="00445BB0" w:rsidP="00FE745A">
      <w:pPr>
        <w:jc w:val="both"/>
        <w:rPr>
          <w:rFonts w:ascii="Arial" w:hAnsi="Arial" w:cs="Arial"/>
          <w:b/>
          <w:sz w:val="20"/>
          <w:szCs w:val="20"/>
        </w:rPr>
      </w:pPr>
      <w:r w:rsidRPr="005732FC">
        <w:rPr>
          <w:rFonts w:ascii="Arial" w:hAnsi="Arial" w:cs="Arial"/>
          <w:b/>
          <w:sz w:val="20"/>
          <w:szCs w:val="20"/>
        </w:rPr>
        <w:t xml:space="preserve">ACCIÓN DE CALIFICACIÓN </w:t>
      </w:r>
    </w:p>
    <w:p w14:paraId="2A2C8878" w14:textId="77777777" w:rsidR="00445BB0" w:rsidRPr="005732FC" w:rsidRDefault="00445BB0" w:rsidP="00FE745A">
      <w:pPr>
        <w:jc w:val="both"/>
        <w:rPr>
          <w:rFonts w:ascii="Arial" w:hAnsi="Arial" w:cs="Arial"/>
          <w:sz w:val="20"/>
          <w:szCs w:val="20"/>
        </w:rPr>
      </w:pPr>
      <w:r w:rsidRPr="005732FC">
        <w:rPr>
          <w:rFonts w:ascii="Arial" w:hAnsi="Arial" w:cs="Arial"/>
          <w:sz w:val="20"/>
          <w:szCs w:val="20"/>
        </w:rPr>
        <w:t>Ciudad de México</w:t>
      </w:r>
    </w:p>
    <w:p w14:paraId="097C247C" w14:textId="67B6DB67" w:rsidR="00445BB0" w:rsidRPr="005732FC" w:rsidRDefault="00445BB0" w:rsidP="00FE745A">
      <w:pPr>
        <w:jc w:val="both"/>
        <w:rPr>
          <w:rFonts w:ascii="Arial" w:hAnsi="Arial" w:cs="Arial"/>
          <w:sz w:val="20"/>
          <w:szCs w:val="20"/>
        </w:rPr>
      </w:pPr>
      <w:r w:rsidRPr="005732FC">
        <w:rPr>
          <w:rFonts w:ascii="Arial" w:hAnsi="Arial" w:cs="Arial"/>
          <w:sz w:val="20"/>
          <w:szCs w:val="20"/>
        </w:rPr>
        <w:t>5 de junio de 2025</w:t>
      </w:r>
    </w:p>
    <w:p w14:paraId="7A90680F" w14:textId="79021A8A" w:rsidR="00445BB0" w:rsidRPr="005732FC" w:rsidRDefault="00445BB0" w:rsidP="00FE745A">
      <w:pPr>
        <w:jc w:val="both"/>
        <w:rPr>
          <w:rFonts w:ascii="Arial" w:hAnsi="Arial" w:cs="Arial"/>
          <w:sz w:val="20"/>
          <w:szCs w:val="20"/>
        </w:rPr>
      </w:pPr>
      <w:r w:rsidRPr="005732FC">
        <w:rPr>
          <w:rFonts w:ascii="Arial" w:hAnsi="Arial" w:cs="Arial"/>
          <w:sz w:val="20"/>
          <w:szCs w:val="20"/>
        </w:rPr>
        <w:t>Moody’s Local MX S.A. de C.V., I.C.V. ("Moody´s Local México") subió la calificación de emisor del Municipio de Benito Juárez a A+.mx de A.mx, mantuvo la perspectiva positiva y subió sus dos calificaciones de deuda a AAA.mx desde AA+.mx. La acción de calificación se resume en el siguiente detalle:</w:t>
      </w:r>
    </w:p>
    <w:p w14:paraId="10F4FE70" w14:textId="14A70352" w:rsidR="00445BB0" w:rsidRPr="005732FC" w:rsidRDefault="00445BB0" w:rsidP="00FE745A">
      <w:pPr>
        <w:tabs>
          <w:tab w:val="left" w:pos="4820"/>
        </w:tabs>
        <w:spacing w:after="0" w:line="288" w:lineRule="auto"/>
        <w:jc w:val="both"/>
        <w:rPr>
          <w:rFonts w:ascii="Arial" w:hAnsi="Arial" w:cs="Arial"/>
          <w:b/>
          <w:bCs/>
          <w:sz w:val="20"/>
          <w:szCs w:val="20"/>
        </w:rPr>
      </w:pPr>
      <w:r w:rsidRPr="005732FC">
        <w:rPr>
          <w:rFonts w:ascii="Arial" w:hAnsi="Arial" w:cs="Arial"/>
          <w:b/>
          <w:bCs/>
          <w:sz w:val="20"/>
          <w:szCs w:val="20"/>
        </w:rPr>
        <w:t xml:space="preserve">        MOODY´S MÉXICO SUBE LA CALIFICACIÓN DEL</w:t>
      </w:r>
    </w:p>
    <w:p w14:paraId="21D1D340" w14:textId="66370AD2" w:rsidR="00445BB0" w:rsidRPr="005732FC" w:rsidRDefault="00445BB0" w:rsidP="00FE745A">
      <w:pPr>
        <w:pStyle w:val="Prrafodelista"/>
        <w:tabs>
          <w:tab w:val="left" w:pos="4820"/>
        </w:tabs>
        <w:spacing w:after="0" w:line="288" w:lineRule="auto"/>
        <w:ind w:left="436"/>
        <w:jc w:val="both"/>
        <w:rPr>
          <w:rFonts w:ascii="Arial" w:hAnsi="Arial" w:cs="Arial"/>
          <w:b/>
          <w:bCs/>
          <w:sz w:val="20"/>
          <w:szCs w:val="20"/>
        </w:rPr>
      </w:pPr>
      <w:r w:rsidRPr="005732FC">
        <w:rPr>
          <w:rFonts w:ascii="Arial" w:hAnsi="Arial" w:cs="Arial"/>
          <w:b/>
          <w:bCs/>
          <w:sz w:val="20"/>
          <w:szCs w:val="20"/>
        </w:rPr>
        <w:t>MUNICIPIO DE BENITO JUÁREZ, QUINTANA ROO.</w:t>
      </w:r>
    </w:p>
    <w:p w14:paraId="563CB864" w14:textId="77777777" w:rsidR="00FE745A" w:rsidRPr="005732FC" w:rsidRDefault="00FE745A" w:rsidP="00FE745A">
      <w:pPr>
        <w:pStyle w:val="Prrafodelista"/>
        <w:tabs>
          <w:tab w:val="left" w:pos="4820"/>
        </w:tabs>
        <w:spacing w:after="0" w:line="288" w:lineRule="auto"/>
        <w:ind w:left="436"/>
        <w:jc w:val="both"/>
        <w:rPr>
          <w:rFonts w:ascii="Arial" w:hAnsi="Arial" w:cs="Arial"/>
          <w:b/>
          <w:bCs/>
          <w:sz w:val="20"/>
          <w:szCs w:val="20"/>
        </w:rPr>
      </w:pPr>
    </w:p>
    <w:tbl>
      <w:tblPr>
        <w:tblStyle w:val="Tablaconcuadrcula"/>
        <w:tblW w:w="0" w:type="auto"/>
        <w:jc w:val="center"/>
        <w:tblLook w:val="04A0" w:firstRow="1" w:lastRow="0" w:firstColumn="1" w:lastColumn="0" w:noHBand="0" w:noVBand="1"/>
      </w:tblPr>
      <w:tblGrid>
        <w:gridCol w:w="4673"/>
        <w:gridCol w:w="4389"/>
      </w:tblGrid>
      <w:tr w:rsidR="00445BB0" w:rsidRPr="005732FC" w14:paraId="2FED5B24" w14:textId="77777777" w:rsidTr="00FE745A">
        <w:trPr>
          <w:trHeight w:val="57"/>
          <w:jc w:val="center"/>
        </w:trPr>
        <w:tc>
          <w:tcPr>
            <w:tcW w:w="4673" w:type="dxa"/>
            <w:tcBorders>
              <w:top w:val="single" w:sz="4" w:space="0" w:color="auto"/>
              <w:left w:val="single" w:sz="4" w:space="0" w:color="auto"/>
              <w:bottom w:val="single" w:sz="4" w:space="0" w:color="auto"/>
              <w:right w:val="single" w:sz="4" w:space="0" w:color="auto"/>
            </w:tcBorders>
            <w:vAlign w:val="center"/>
            <w:hideMark/>
          </w:tcPr>
          <w:p w14:paraId="489241A6" w14:textId="77777777" w:rsidR="00445BB0" w:rsidRPr="005732FC" w:rsidRDefault="00445BB0" w:rsidP="00FE745A">
            <w:pPr>
              <w:jc w:val="both"/>
              <w:rPr>
                <w:rFonts w:ascii="Arial" w:eastAsia="Times New Roman" w:hAnsi="Arial" w:cs="Arial"/>
                <w:b/>
                <w:bCs/>
                <w:color w:val="000000"/>
                <w:sz w:val="20"/>
                <w:szCs w:val="20"/>
                <w:lang w:eastAsia="es-MX"/>
              </w:rPr>
            </w:pPr>
            <w:r w:rsidRPr="005732FC">
              <w:rPr>
                <w:rFonts w:ascii="Arial" w:eastAsia="Times New Roman" w:hAnsi="Arial" w:cs="Arial"/>
                <w:b/>
                <w:bCs/>
                <w:color w:val="000000"/>
                <w:sz w:val="20"/>
                <w:szCs w:val="20"/>
                <w:lang w:eastAsia="es-MX"/>
              </w:rPr>
              <w:t xml:space="preserve">CALIFICACIÓN AL </w:t>
            </w:r>
          </w:p>
          <w:p w14:paraId="2DED5A71" w14:textId="77777777" w:rsidR="00445BB0" w:rsidRPr="005732FC" w:rsidRDefault="00445BB0" w:rsidP="00FE745A">
            <w:pPr>
              <w:jc w:val="both"/>
              <w:rPr>
                <w:rFonts w:ascii="Arial" w:eastAsia="Times New Roman" w:hAnsi="Arial" w:cs="Arial"/>
                <w:b/>
                <w:bCs/>
                <w:color w:val="000000"/>
                <w:sz w:val="20"/>
                <w:szCs w:val="20"/>
                <w:lang w:eastAsia="es-MX"/>
              </w:rPr>
            </w:pPr>
            <w:r w:rsidRPr="005732FC">
              <w:rPr>
                <w:rFonts w:ascii="Arial" w:eastAsia="Times New Roman" w:hAnsi="Arial" w:cs="Arial"/>
                <w:b/>
                <w:bCs/>
                <w:color w:val="000000"/>
                <w:sz w:val="20"/>
                <w:szCs w:val="20"/>
                <w:lang w:eastAsia="es-MX"/>
              </w:rPr>
              <w:t>MUNICIPIO</w:t>
            </w:r>
            <w:r w:rsidRPr="005732FC">
              <w:rPr>
                <w:rFonts w:ascii="Arial" w:eastAsia="Times New Roman" w:hAnsi="Arial" w:cs="Arial"/>
                <w:b/>
                <w:color w:val="000000"/>
                <w:sz w:val="20"/>
                <w:szCs w:val="20"/>
                <w:lang w:eastAsia="es-MX"/>
              </w:rPr>
              <w:t xml:space="preserve"> (EMISOR)</w:t>
            </w:r>
          </w:p>
        </w:tc>
        <w:tc>
          <w:tcPr>
            <w:tcW w:w="4389" w:type="dxa"/>
            <w:tcBorders>
              <w:top w:val="single" w:sz="4" w:space="0" w:color="auto"/>
              <w:left w:val="single" w:sz="4" w:space="0" w:color="auto"/>
              <w:bottom w:val="single" w:sz="4" w:space="0" w:color="auto"/>
              <w:right w:val="single" w:sz="4" w:space="0" w:color="auto"/>
            </w:tcBorders>
            <w:hideMark/>
          </w:tcPr>
          <w:p w14:paraId="05B3726D" w14:textId="77777777" w:rsidR="00445BB0" w:rsidRPr="005732FC" w:rsidRDefault="00445BB0" w:rsidP="00FE745A">
            <w:pPr>
              <w:pStyle w:val="Prrafodelista"/>
              <w:spacing w:line="288" w:lineRule="auto"/>
              <w:ind w:left="0"/>
              <w:jc w:val="both"/>
              <w:rPr>
                <w:rFonts w:ascii="Arial" w:eastAsia="Times New Roman" w:hAnsi="Arial" w:cs="Arial"/>
                <w:b/>
                <w:bCs/>
                <w:color w:val="000000"/>
                <w:sz w:val="20"/>
                <w:szCs w:val="20"/>
                <w:lang w:eastAsia="es-MX"/>
              </w:rPr>
            </w:pPr>
            <w:r w:rsidRPr="005732FC">
              <w:rPr>
                <w:rFonts w:ascii="Arial" w:eastAsia="Times New Roman" w:hAnsi="Arial" w:cs="Arial"/>
                <w:b/>
                <w:bCs/>
                <w:color w:val="000000"/>
                <w:sz w:val="20"/>
                <w:szCs w:val="20"/>
                <w:lang w:eastAsia="es-MX"/>
              </w:rPr>
              <w:t>CALIFICACIÓN A LOS CRÉDITOS</w:t>
            </w:r>
          </w:p>
          <w:p w14:paraId="50397D1D" w14:textId="77777777" w:rsidR="00445BB0" w:rsidRPr="005732FC" w:rsidRDefault="00445BB0" w:rsidP="00FE745A">
            <w:pPr>
              <w:pStyle w:val="Prrafodelista"/>
              <w:spacing w:line="288" w:lineRule="auto"/>
              <w:ind w:left="0"/>
              <w:jc w:val="both"/>
              <w:rPr>
                <w:rFonts w:ascii="Arial" w:eastAsia="Times New Roman" w:hAnsi="Arial" w:cs="Arial"/>
                <w:color w:val="000000"/>
                <w:sz w:val="20"/>
                <w:szCs w:val="20"/>
                <w:lang w:eastAsia="es-MX"/>
              </w:rPr>
            </w:pPr>
            <w:r w:rsidRPr="005732FC">
              <w:rPr>
                <w:rFonts w:ascii="Arial" w:eastAsia="Times New Roman" w:hAnsi="Arial" w:cs="Arial"/>
                <w:b/>
                <w:color w:val="000000"/>
                <w:sz w:val="20"/>
                <w:szCs w:val="20"/>
                <w:lang w:eastAsia="es-MX"/>
              </w:rPr>
              <w:t>Crédito BBVA Bancomer 19</w:t>
            </w:r>
          </w:p>
          <w:p w14:paraId="4881A03F" w14:textId="77777777" w:rsidR="00445BB0" w:rsidRPr="005732FC" w:rsidRDefault="00445BB0" w:rsidP="00FE745A">
            <w:pPr>
              <w:pStyle w:val="Prrafodelista"/>
              <w:spacing w:line="288" w:lineRule="auto"/>
              <w:ind w:left="0"/>
              <w:jc w:val="both"/>
              <w:rPr>
                <w:rFonts w:ascii="Arial" w:eastAsia="Times New Roman" w:hAnsi="Arial" w:cs="Arial"/>
                <w:color w:val="000000"/>
                <w:sz w:val="20"/>
                <w:szCs w:val="20"/>
                <w:lang w:eastAsia="es-MX"/>
              </w:rPr>
            </w:pPr>
            <w:r w:rsidRPr="005732FC">
              <w:rPr>
                <w:rFonts w:ascii="Arial" w:eastAsia="Times New Roman" w:hAnsi="Arial" w:cs="Arial"/>
                <w:b/>
                <w:color w:val="000000"/>
                <w:sz w:val="20"/>
                <w:szCs w:val="20"/>
                <w:lang w:eastAsia="es-MX"/>
              </w:rPr>
              <w:t>Crédito Banco Azteca 19</w:t>
            </w:r>
          </w:p>
        </w:tc>
      </w:tr>
      <w:tr w:rsidR="00445BB0" w:rsidRPr="005732FC" w14:paraId="2E160425" w14:textId="77777777" w:rsidTr="00FE745A">
        <w:trPr>
          <w:trHeight w:val="57"/>
          <w:jc w:val="center"/>
        </w:trPr>
        <w:tc>
          <w:tcPr>
            <w:tcW w:w="4673" w:type="dxa"/>
            <w:tcBorders>
              <w:top w:val="single" w:sz="4" w:space="0" w:color="auto"/>
              <w:left w:val="single" w:sz="4" w:space="0" w:color="auto"/>
              <w:bottom w:val="single" w:sz="4" w:space="0" w:color="auto"/>
              <w:right w:val="single" w:sz="4" w:space="0" w:color="auto"/>
            </w:tcBorders>
            <w:vAlign w:val="center"/>
          </w:tcPr>
          <w:p w14:paraId="3FCE4E24" w14:textId="77777777" w:rsidR="00445BB0" w:rsidRPr="005732FC" w:rsidRDefault="00445BB0" w:rsidP="00FE745A">
            <w:pPr>
              <w:jc w:val="both"/>
              <w:rPr>
                <w:rFonts w:ascii="Arial" w:eastAsia="Times New Roman" w:hAnsi="Arial" w:cs="Arial"/>
                <w:color w:val="000000"/>
                <w:sz w:val="20"/>
                <w:szCs w:val="20"/>
                <w:lang w:eastAsia="es-MX"/>
              </w:rPr>
            </w:pPr>
            <w:r w:rsidRPr="005732FC">
              <w:rPr>
                <w:rFonts w:ascii="Arial" w:eastAsia="Times New Roman" w:hAnsi="Arial" w:cs="Arial"/>
                <w:color w:val="000000"/>
                <w:sz w:val="20"/>
                <w:szCs w:val="20"/>
                <w:lang w:eastAsia="es-MX"/>
              </w:rPr>
              <w:t>Anterior:</w:t>
            </w:r>
          </w:p>
          <w:p w14:paraId="6898A1A7" w14:textId="77777777" w:rsidR="00445BB0" w:rsidRPr="005732FC" w:rsidRDefault="00445BB0" w:rsidP="00FE745A">
            <w:pPr>
              <w:jc w:val="both"/>
              <w:rPr>
                <w:rFonts w:ascii="Arial" w:eastAsia="Times New Roman" w:hAnsi="Arial" w:cs="Arial"/>
                <w:color w:val="000000"/>
                <w:sz w:val="20"/>
                <w:szCs w:val="20"/>
                <w:lang w:eastAsia="es-MX"/>
              </w:rPr>
            </w:pPr>
            <w:r w:rsidRPr="005732FC">
              <w:rPr>
                <w:rFonts w:ascii="Arial" w:eastAsia="Times New Roman" w:hAnsi="Arial" w:cs="Arial"/>
                <w:color w:val="000000"/>
                <w:sz w:val="20"/>
                <w:szCs w:val="20"/>
                <w:lang w:eastAsia="es-MX"/>
              </w:rPr>
              <w:t xml:space="preserve">Afirma la calificación en: </w:t>
            </w:r>
          </w:p>
          <w:p w14:paraId="427E770F" w14:textId="77777777" w:rsidR="00445BB0" w:rsidRPr="005732FC" w:rsidRDefault="00445BB0" w:rsidP="00FE745A">
            <w:pPr>
              <w:jc w:val="both"/>
              <w:rPr>
                <w:rFonts w:ascii="Arial" w:eastAsia="Times New Roman" w:hAnsi="Arial" w:cs="Arial"/>
                <w:b/>
                <w:bCs/>
                <w:color w:val="000000"/>
                <w:sz w:val="20"/>
                <w:szCs w:val="20"/>
                <w:lang w:eastAsia="es-MX"/>
              </w:rPr>
            </w:pPr>
            <w:r w:rsidRPr="005732FC">
              <w:rPr>
                <w:rFonts w:ascii="Arial" w:eastAsia="Times New Roman" w:hAnsi="Arial" w:cs="Arial"/>
                <w:b/>
                <w:bCs/>
                <w:color w:val="000000"/>
                <w:sz w:val="20"/>
                <w:szCs w:val="20"/>
                <w:lang w:eastAsia="es-MX"/>
              </w:rPr>
              <w:t xml:space="preserve">A.mx; </w:t>
            </w:r>
          </w:p>
          <w:p w14:paraId="08AA49CD" w14:textId="77777777" w:rsidR="00445BB0" w:rsidRPr="005732FC" w:rsidRDefault="00445BB0" w:rsidP="00FE745A">
            <w:pPr>
              <w:jc w:val="both"/>
              <w:rPr>
                <w:rFonts w:ascii="Arial" w:eastAsia="Times New Roman" w:hAnsi="Arial" w:cs="Arial"/>
                <w:bCs/>
                <w:color w:val="000000"/>
                <w:sz w:val="20"/>
                <w:szCs w:val="20"/>
                <w:lang w:eastAsia="es-MX"/>
              </w:rPr>
            </w:pPr>
          </w:p>
          <w:p w14:paraId="07DDFEAA" w14:textId="77777777" w:rsidR="00445BB0" w:rsidRPr="005732FC" w:rsidRDefault="00445BB0" w:rsidP="00FE745A">
            <w:pPr>
              <w:jc w:val="both"/>
              <w:rPr>
                <w:rFonts w:ascii="Arial" w:eastAsia="Times New Roman" w:hAnsi="Arial" w:cs="Arial"/>
                <w:bCs/>
                <w:color w:val="000000"/>
                <w:sz w:val="20"/>
                <w:szCs w:val="20"/>
                <w:lang w:eastAsia="es-MX"/>
              </w:rPr>
            </w:pPr>
            <w:r w:rsidRPr="005732FC">
              <w:rPr>
                <w:rFonts w:ascii="Arial" w:eastAsia="Times New Roman" w:hAnsi="Arial" w:cs="Arial"/>
                <w:bCs/>
                <w:color w:val="000000"/>
                <w:sz w:val="20"/>
                <w:szCs w:val="20"/>
                <w:lang w:eastAsia="es-MX"/>
              </w:rPr>
              <w:t xml:space="preserve"> Y cambia la </w:t>
            </w:r>
            <w:r w:rsidRPr="005732FC">
              <w:rPr>
                <w:rFonts w:ascii="Arial" w:eastAsia="Times New Roman" w:hAnsi="Arial" w:cs="Arial"/>
                <w:b/>
                <w:bCs/>
                <w:color w:val="000000"/>
                <w:sz w:val="20"/>
                <w:szCs w:val="20"/>
                <w:lang w:eastAsia="es-MX"/>
              </w:rPr>
              <w:t xml:space="preserve">PERSPECTIVA a POSITIVA </w:t>
            </w:r>
            <w:r w:rsidRPr="005732FC">
              <w:rPr>
                <w:rFonts w:ascii="Arial" w:eastAsia="Times New Roman" w:hAnsi="Arial" w:cs="Arial"/>
                <w:bCs/>
                <w:color w:val="000000"/>
                <w:sz w:val="20"/>
                <w:szCs w:val="20"/>
                <w:lang w:eastAsia="es-MX"/>
              </w:rPr>
              <w:t>de Estable</w:t>
            </w:r>
          </w:p>
          <w:p w14:paraId="6A7F7448" w14:textId="77777777" w:rsidR="00445BB0" w:rsidRPr="005732FC" w:rsidRDefault="00445BB0" w:rsidP="00FE745A">
            <w:pPr>
              <w:jc w:val="both"/>
              <w:rPr>
                <w:rFonts w:ascii="Arial" w:eastAsia="Times New Roman" w:hAnsi="Arial" w:cs="Arial"/>
                <w:b/>
                <w:bCs/>
                <w:color w:val="000000"/>
                <w:sz w:val="20"/>
                <w:szCs w:val="20"/>
                <w:lang w:eastAsia="es-MX"/>
              </w:rPr>
            </w:pPr>
          </w:p>
          <w:p w14:paraId="369CD4A9" w14:textId="77777777" w:rsidR="00445BB0" w:rsidRPr="005732FC" w:rsidRDefault="00445BB0" w:rsidP="00FE745A">
            <w:pPr>
              <w:jc w:val="both"/>
              <w:rPr>
                <w:rFonts w:ascii="Arial" w:eastAsia="Times New Roman" w:hAnsi="Arial" w:cs="Arial"/>
                <w:color w:val="000000"/>
                <w:sz w:val="20"/>
                <w:szCs w:val="20"/>
                <w:lang w:eastAsia="es-MX"/>
              </w:rPr>
            </w:pPr>
            <w:r w:rsidRPr="005732FC">
              <w:rPr>
                <w:rFonts w:ascii="Arial" w:eastAsia="Times New Roman" w:hAnsi="Arial" w:cs="Arial"/>
                <w:color w:val="000000"/>
                <w:sz w:val="20"/>
                <w:szCs w:val="20"/>
                <w:lang w:eastAsia="es-MX"/>
              </w:rPr>
              <w:t>18 de octubre de 2024</w:t>
            </w:r>
          </w:p>
        </w:tc>
        <w:tc>
          <w:tcPr>
            <w:tcW w:w="4389" w:type="dxa"/>
            <w:tcBorders>
              <w:top w:val="single" w:sz="4" w:space="0" w:color="auto"/>
              <w:left w:val="single" w:sz="4" w:space="0" w:color="auto"/>
              <w:bottom w:val="single" w:sz="4" w:space="0" w:color="auto"/>
              <w:right w:val="single" w:sz="4" w:space="0" w:color="auto"/>
            </w:tcBorders>
            <w:vAlign w:val="center"/>
          </w:tcPr>
          <w:p w14:paraId="39971D74" w14:textId="77777777" w:rsidR="00445BB0" w:rsidRPr="005732FC" w:rsidRDefault="00445BB0" w:rsidP="00FE745A">
            <w:pPr>
              <w:jc w:val="both"/>
              <w:rPr>
                <w:rFonts w:ascii="Arial" w:eastAsia="Times New Roman" w:hAnsi="Arial" w:cs="Arial"/>
                <w:color w:val="000000"/>
                <w:sz w:val="20"/>
                <w:szCs w:val="20"/>
                <w:lang w:eastAsia="es-MX"/>
              </w:rPr>
            </w:pPr>
            <w:r w:rsidRPr="005732FC">
              <w:rPr>
                <w:rFonts w:ascii="Arial" w:eastAsia="Times New Roman" w:hAnsi="Arial" w:cs="Arial"/>
                <w:color w:val="000000"/>
                <w:sz w:val="20"/>
                <w:szCs w:val="20"/>
                <w:lang w:eastAsia="es-MX"/>
              </w:rPr>
              <w:t>Anterior:</w:t>
            </w:r>
          </w:p>
          <w:p w14:paraId="7551BE9C" w14:textId="77777777" w:rsidR="00445BB0" w:rsidRPr="005732FC" w:rsidRDefault="00445BB0" w:rsidP="00FE745A">
            <w:pPr>
              <w:jc w:val="both"/>
              <w:rPr>
                <w:rFonts w:ascii="Arial" w:eastAsia="Times New Roman" w:hAnsi="Arial" w:cs="Arial"/>
                <w:color w:val="000000"/>
                <w:sz w:val="20"/>
                <w:szCs w:val="20"/>
                <w:lang w:eastAsia="es-MX"/>
              </w:rPr>
            </w:pPr>
            <w:r w:rsidRPr="005732FC">
              <w:rPr>
                <w:rFonts w:ascii="Arial" w:eastAsia="Times New Roman" w:hAnsi="Arial" w:cs="Arial"/>
                <w:color w:val="000000"/>
                <w:sz w:val="20"/>
                <w:szCs w:val="20"/>
                <w:lang w:eastAsia="es-MX"/>
              </w:rPr>
              <w:t xml:space="preserve">Afirma la calificación en:              </w:t>
            </w:r>
          </w:p>
          <w:p w14:paraId="5C0A4DD9" w14:textId="77777777" w:rsidR="00445BB0" w:rsidRPr="005732FC" w:rsidRDefault="00445BB0" w:rsidP="00FE745A">
            <w:pPr>
              <w:jc w:val="both"/>
              <w:rPr>
                <w:rFonts w:ascii="Arial" w:eastAsia="Times New Roman" w:hAnsi="Arial" w:cs="Arial"/>
                <w:b/>
                <w:bCs/>
                <w:color w:val="000000"/>
                <w:sz w:val="20"/>
                <w:szCs w:val="20"/>
                <w:lang w:eastAsia="es-MX"/>
              </w:rPr>
            </w:pPr>
            <w:r w:rsidRPr="005732FC">
              <w:rPr>
                <w:rFonts w:ascii="Arial" w:eastAsia="Times New Roman" w:hAnsi="Arial" w:cs="Arial"/>
                <w:b/>
                <w:bCs/>
                <w:color w:val="000000"/>
                <w:sz w:val="20"/>
                <w:szCs w:val="20"/>
                <w:lang w:eastAsia="es-MX"/>
              </w:rPr>
              <w:t>AA+.mx</w:t>
            </w:r>
          </w:p>
          <w:p w14:paraId="12595C52" w14:textId="77777777" w:rsidR="00445BB0" w:rsidRPr="005732FC" w:rsidRDefault="00445BB0" w:rsidP="00FE745A">
            <w:pPr>
              <w:jc w:val="both"/>
              <w:rPr>
                <w:rFonts w:ascii="Arial" w:eastAsia="Times New Roman" w:hAnsi="Arial" w:cs="Arial"/>
                <w:b/>
                <w:bCs/>
                <w:color w:val="000000"/>
                <w:sz w:val="20"/>
                <w:szCs w:val="20"/>
                <w:lang w:eastAsia="es-MX"/>
              </w:rPr>
            </w:pPr>
          </w:p>
          <w:p w14:paraId="09376B24" w14:textId="77777777" w:rsidR="00445BB0" w:rsidRPr="005732FC" w:rsidRDefault="00445BB0" w:rsidP="00FE745A">
            <w:pPr>
              <w:jc w:val="both"/>
              <w:rPr>
                <w:rFonts w:ascii="Arial" w:eastAsia="Times New Roman" w:hAnsi="Arial" w:cs="Arial"/>
                <w:color w:val="000000"/>
                <w:sz w:val="20"/>
                <w:szCs w:val="20"/>
                <w:lang w:eastAsia="es-MX"/>
              </w:rPr>
            </w:pPr>
            <w:r w:rsidRPr="005732FC">
              <w:rPr>
                <w:rFonts w:ascii="Arial" w:eastAsia="Times New Roman" w:hAnsi="Arial" w:cs="Arial"/>
                <w:color w:val="000000"/>
                <w:sz w:val="20"/>
                <w:szCs w:val="20"/>
                <w:lang w:eastAsia="es-MX"/>
              </w:rPr>
              <w:t>18 de octubre de 2024</w:t>
            </w:r>
          </w:p>
        </w:tc>
      </w:tr>
      <w:tr w:rsidR="00445BB0" w:rsidRPr="005732FC" w14:paraId="48372FB5" w14:textId="77777777" w:rsidTr="00FE745A">
        <w:trPr>
          <w:trHeight w:val="57"/>
          <w:jc w:val="center"/>
        </w:trPr>
        <w:tc>
          <w:tcPr>
            <w:tcW w:w="4673" w:type="dxa"/>
            <w:tcBorders>
              <w:top w:val="single" w:sz="4" w:space="0" w:color="auto"/>
              <w:left w:val="single" w:sz="4" w:space="0" w:color="auto"/>
              <w:bottom w:val="single" w:sz="4" w:space="0" w:color="auto"/>
              <w:right w:val="single" w:sz="4" w:space="0" w:color="auto"/>
            </w:tcBorders>
          </w:tcPr>
          <w:p w14:paraId="1DA9BE89" w14:textId="77777777" w:rsidR="00445BB0" w:rsidRPr="005732FC" w:rsidRDefault="00445BB0" w:rsidP="00FE745A">
            <w:pPr>
              <w:jc w:val="both"/>
              <w:rPr>
                <w:rFonts w:ascii="Arial" w:eastAsia="Times New Roman" w:hAnsi="Arial" w:cs="Arial"/>
                <w:color w:val="000000"/>
                <w:sz w:val="20"/>
                <w:szCs w:val="20"/>
                <w:lang w:eastAsia="es-MX"/>
              </w:rPr>
            </w:pPr>
            <w:r w:rsidRPr="005732FC">
              <w:rPr>
                <w:rFonts w:ascii="Arial" w:eastAsia="Times New Roman" w:hAnsi="Arial" w:cs="Arial"/>
                <w:color w:val="000000"/>
                <w:sz w:val="20"/>
                <w:szCs w:val="20"/>
                <w:lang w:eastAsia="es-MX"/>
              </w:rPr>
              <w:t>Vigente:</w:t>
            </w:r>
          </w:p>
          <w:p w14:paraId="13FF3F00" w14:textId="77777777" w:rsidR="00445BB0" w:rsidRPr="005732FC" w:rsidRDefault="00445BB0" w:rsidP="00FE745A">
            <w:pPr>
              <w:jc w:val="both"/>
              <w:rPr>
                <w:rFonts w:ascii="Arial" w:eastAsia="Times New Roman" w:hAnsi="Arial" w:cs="Arial"/>
                <w:color w:val="000000"/>
                <w:sz w:val="20"/>
                <w:szCs w:val="20"/>
                <w:lang w:eastAsia="es-MX"/>
              </w:rPr>
            </w:pPr>
          </w:p>
          <w:p w14:paraId="4220A370" w14:textId="77777777" w:rsidR="00445BB0" w:rsidRPr="005732FC" w:rsidRDefault="00445BB0" w:rsidP="00FE745A">
            <w:pPr>
              <w:pStyle w:val="Prrafodelista"/>
              <w:spacing w:line="288" w:lineRule="auto"/>
              <w:ind w:left="0"/>
              <w:jc w:val="both"/>
              <w:rPr>
                <w:rFonts w:ascii="Arial" w:eastAsia="Times New Roman" w:hAnsi="Arial" w:cs="Arial"/>
                <w:bCs/>
                <w:color w:val="000000"/>
                <w:sz w:val="20"/>
                <w:szCs w:val="20"/>
                <w:lang w:eastAsia="es-MX"/>
              </w:rPr>
            </w:pPr>
            <w:r w:rsidRPr="005732FC">
              <w:rPr>
                <w:rFonts w:ascii="Arial" w:eastAsia="Times New Roman" w:hAnsi="Arial" w:cs="Arial"/>
                <w:color w:val="000000"/>
                <w:sz w:val="20"/>
                <w:szCs w:val="20"/>
                <w:lang w:eastAsia="es-MX"/>
              </w:rPr>
              <w:t xml:space="preserve">Sube la calificación a </w:t>
            </w:r>
            <w:r w:rsidRPr="005732FC">
              <w:rPr>
                <w:rFonts w:ascii="Arial" w:hAnsi="Arial" w:cs="Arial"/>
                <w:b/>
                <w:sz w:val="20"/>
                <w:szCs w:val="20"/>
              </w:rPr>
              <w:t>A+.mx</w:t>
            </w:r>
            <w:r w:rsidRPr="005732FC">
              <w:rPr>
                <w:rFonts w:ascii="Arial" w:eastAsia="Times New Roman" w:hAnsi="Arial" w:cs="Arial"/>
                <w:bCs/>
                <w:color w:val="000000"/>
                <w:sz w:val="20"/>
                <w:szCs w:val="20"/>
                <w:lang w:eastAsia="es-MX"/>
              </w:rPr>
              <w:t xml:space="preserve"> mantiene la perspectiva </w:t>
            </w:r>
            <w:r w:rsidRPr="005732FC">
              <w:rPr>
                <w:rFonts w:ascii="Arial" w:eastAsia="Times New Roman" w:hAnsi="Arial" w:cs="Arial"/>
                <w:b/>
                <w:bCs/>
                <w:color w:val="000000"/>
                <w:sz w:val="20"/>
                <w:szCs w:val="20"/>
                <w:lang w:eastAsia="es-MX"/>
              </w:rPr>
              <w:t>Positiva</w:t>
            </w:r>
            <w:r w:rsidRPr="005732FC">
              <w:rPr>
                <w:rFonts w:ascii="Arial" w:eastAsia="Times New Roman" w:hAnsi="Arial" w:cs="Arial"/>
                <w:bCs/>
                <w:color w:val="000000"/>
                <w:sz w:val="20"/>
                <w:szCs w:val="20"/>
                <w:lang w:eastAsia="es-MX"/>
              </w:rPr>
              <w:t xml:space="preserve"> </w:t>
            </w:r>
          </w:p>
          <w:p w14:paraId="792AE19E" w14:textId="77777777" w:rsidR="00445BB0" w:rsidRPr="005732FC" w:rsidRDefault="00445BB0" w:rsidP="00FE745A">
            <w:pPr>
              <w:pStyle w:val="Prrafodelista"/>
              <w:spacing w:line="288" w:lineRule="auto"/>
              <w:ind w:left="0"/>
              <w:jc w:val="both"/>
              <w:rPr>
                <w:rFonts w:ascii="Arial" w:hAnsi="Arial" w:cs="Arial"/>
                <w:b/>
                <w:sz w:val="20"/>
                <w:szCs w:val="20"/>
              </w:rPr>
            </w:pPr>
          </w:p>
          <w:p w14:paraId="7D1E53BF" w14:textId="77777777" w:rsidR="00445BB0" w:rsidRPr="005732FC" w:rsidRDefault="00445BB0" w:rsidP="00FE745A">
            <w:pPr>
              <w:pStyle w:val="Prrafodelista"/>
              <w:spacing w:line="288" w:lineRule="auto"/>
              <w:ind w:left="0"/>
              <w:jc w:val="both"/>
              <w:rPr>
                <w:rFonts w:ascii="Arial" w:hAnsi="Arial" w:cs="Arial"/>
                <w:sz w:val="20"/>
                <w:szCs w:val="20"/>
              </w:rPr>
            </w:pPr>
            <w:r w:rsidRPr="005732FC">
              <w:rPr>
                <w:rFonts w:ascii="Arial" w:eastAsia="Times New Roman" w:hAnsi="Arial" w:cs="Arial"/>
                <w:color w:val="000000"/>
                <w:sz w:val="20"/>
                <w:szCs w:val="20"/>
                <w:lang w:eastAsia="es-MX"/>
              </w:rPr>
              <w:t>5 de junio de 2025</w:t>
            </w:r>
          </w:p>
        </w:tc>
        <w:tc>
          <w:tcPr>
            <w:tcW w:w="4389" w:type="dxa"/>
            <w:tcBorders>
              <w:top w:val="single" w:sz="4" w:space="0" w:color="auto"/>
              <w:left w:val="single" w:sz="4" w:space="0" w:color="auto"/>
              <w:bottom w:val="single" w:sz="4" w:space="0" w:color="auto"/>
              <w:right w:val="single" w:sz="4" w:space="0" w:color="auto"/>
            </w:tcBorders>
          </w:tcPr>
          <w:p w14:paraId="0F7FAF37" w14:textId="77777777" w:rsidR="00445BB0" w:rsidRPr="005732FC" w:rsidRDefault="00445BB0" w:rsidP="00FE745A">
            <w:pPr>
              <w:jc w:val="both"/>
              <w:rPr>
                <w:rFonts w:ascii="Arial" w:eastAsia="Times New Roman" w:hAnsi="Arial" w:cs="Arial"/>
                <w:color w:val="000000"/>
                <w:sz w:val="20"/>
                <w:szCs w:val="20"/>
                <w:lang w:eastAsia="es-MX"/>
              </w:rPr>
            </w:pPr>
            <w:r w:rsidRPr="005732FC">
              <w:rPr>
                <w:rFonts w:ascii="Arial" w:eastAsia="Times New Roman" w:hAnsi="Arial" w:cs="Arial"/>
                <w:color w:val="000000"/>
                <w:sz w:val="20"/>
                <w:szCs w:val="20"/>
                <w:lang w:eastAsia="es-MX"/>
              </w:rPr>
              <w:t>Vigente:</w:t>
            </w:r>
          </w:p>
          <w:p w14:paraId="307188F4" w14:textId="77777777" w:rsidR="00445BB0" w:rsidRPr="005732FC" w:rsidRDefault="00445BB0" w:rsidP="00FE745A">
            <w:pPr>
              <w:jc w:val="both"/>
              <w:rPr>
                <w:rFonts w:ascii="Arial" w:eastAsia="Times New Roman" w:hAnsi="Arial" w:cs="Arial"/>
                <w:color w:val="000000"/>
                <w:sz w:val="20"/>
                <w:szCs w:val="20"/>
                <w:lang w:eastAsia="es-MX"/>
              </w:rPr>
            </w:pPr>
          </w:p>
          <w:p w14:paraId="0E9FC66B" w14:textId="77777777" w:rsidR="00445BB0" w:rsidRPr="005732FC" w:rsidRDefault="00445BB0" w:rsidP="00FE745A">
            <w:pPr>
              <w:jc w:val="both"/>
              <w:rPr>
                <w:rFonts w:ascii="Arial" w:hAnsi="Arial" w:cs="Arial"/>
                <w:b/>
                <w:sz w:val="20"/>
                <w:szCs w:val="20"/>
              </w:rPr>
            </w:pPr>
            <w:r w:rsidRPr="005732FC">
              <w:rPr>
                <w:rFonts w:ascii="Arial" w:eastAsia="Times New Roman" w:hAnsi="Arial" w:cs="Arial"/>
                <w:color w:val="000000"/>
                <w:sz w:val="20"/>
                <w:szCs w:val="20"/>
                <w:lang w:eastAsia="es-MX"/>
              </w:rPr>
              <w:t xml:space="preserve">Sube dos calificaciones de deuda a </w:t>
            </w:r>
            <w:r w:rsidRPr="005732FC">
              <w:rPr>
                <w:rFonts w:ascii="Arial" w:hAnsi="Arial" w:cs="Arial"/>
                <w:b/>
                <w:sz w:val="20"/>
                <w:szCs w:val="20"/>
              </w:rPr>
              <w:t xml:space="preserve"> </w:t>
            </w:r>
          </w:p>
          <w:p w14:paraId="228BBF2E" w14:textId="77777777" w:rsidR="00445BB0" w:rsidRPr="005732FC" w:rsidRDefault="00445BB0" w:rsidP="00FE745A">
            <w:pPr>
              <w:pStyle w:val="Prrafodelista"/>
              <w:spacing w:line="288" w:lineRule="auto"/>
              <w:ind w:left="0"/>
              <w:jc w:val="both"/>
              <w:rPr>
                <w:rFonts w:ascii="Arial" w:hAnsi="Arial" w:cs="Arial"/>
                <w:b/>
                <w:sz w:val="20"/>
                <w:szCs w:val="20"/>
              </w:rPr>
            </w:pPr>
            <w:r w:rsidRPr="005732FC">
              <w:rPr>
                <w:rFonts w:ascii="Arial" w:hAnsi="Arial" w:cs="Arial"/>
                <w:b/>
                <w:sz w:val="20"/>
                <w:szCs w:val="20"/>
              </w:rPr>
              <w:t>AAA.mx</w:t>
            </w:r>
          </w:p>
          <w:p w14:paraId="6632060D" w14:textId="77777777" w:rsidR="00445BB0" w:rsidRPr="005732FC" w:rsidRDefault="00445BB0" w:rsidP="00FE745A">
            <w:pPr>
              <w:pStyle w:val="Prrafodelista"/>
              <w:spacing w:line="288" w:lineRule="auto"/>
              <w:ind w:left="0"/>
              <w:jc w:val="both"/>
              <w:rPr>
                <w:rFonts w:ascii="Arial" w:eastAsia="Times New Roman" w:hAnsi="Arial" w:cs="Arial"/>
                <w:color w:val="000000"/>
                <w:sz w:val="20"/>
                <w:szCs w:val="20"/>
                <w:lang w:eastAsia="es-MX"/>
              </w:rPr>
            </w:pPr>
          </w:p>
          <w:p w14:paraId="281EFF5C" w14:textId="77777777" w:rsidR="00445BB0" w:rsidRPr="005732FC" w:rsidRDefault="00445BB0" w:rsidP="00FE745A">
            <w:pPr>
              <w:pStyle w:val="Prrafodelista"/>
              <w:spacing w:line="288" w:lineRule="auto"/>
              <w:ind w:left="0"/>
              <w:jc w:val="both"/>
              <w:rPr>
                <w:rFonts w:ascii="Arial" w:eastAsia="Times New Roman" w:hAnsi="Arial" w:cs="Arial"/>
                <w:color w:val="000000"/>
                <w:sz w:val="20"/>
                <w:szCs w:val="20"/>
                <w:lang w:eastAsia="es-MX"/>
              </w:rPr>
            </w:pPr>
            <w:r w:rsidRPr="005732FC">
              <w:rPr>
                <w:rFonts w:ascii="Arial" w:eastAsia="Times New Roman" w:hAnsi="Arial" w:cs="Arial"/>
                <w:color w:val="000000"/>
                <w:sz w:val="20"/>
                <w:szCs w:val="20"/>
                <w:lang w:eastAsia="es-MX"/>
              </w:rPr>
              <w:t>5 de junio de 2025</w:t>
            </w:r>
          </w:p>
        </w:tc>
      </w:tr>
    </w:tbl>
    <w:p w14:paraId="68A716AB" w14:textId="77777777" w:rsidR="00445BB0" w:rsidRPr="005732FC" w:rsidRDefault="00445BB0" w:rsidP="00FE745A">
      <w:pPr>
        <w:pStyle w:val="Prrafodelista"/>
        <w:tabs>
          <w:tab w:val="left" w:pos="4820"/>
        </w:tabs>
        <w:spacing w:after="0" w:line="288" w:lineRule="auto"/>
        <w:ind w:left="436"/>
        <w:jc w:val="both"/>
        <w:rPr>
          <w:rFonts w:ascii="Arial" w:hAnsi="Arial" w:cs="Arial"/>
          <w:b/>
          <w:bCs/>
          <w:sz w:val="20"/>
          <w:szCs w:val="20"/>
        </w:rPr>
      </w:pPr>
    </w:p>
    <w:p w14:paraId="08C8E613" w14:textId="77777777" w:rsidR="00445BB0" w:rsidRPr="005732FC" w:rsidRDefault="00445BB0" w:rsidP="00FE745A">
      <w:pPr>
        <w:jc w:val="both"/>
        <w:rPr>
          <w:rFonts w:ascii="Arial" w:hAnsi="Arial" w:cs="Arial"/>
          <w:b/>
          <w:sz w:val="20"/>
          <w:szCs w:val="20"/>
        </w:rPr>
      </w:pPr>
      <w:r w:rsidRPr="005732FC">
        <w:rPr>
          <w:rFonts w:ascii="Arial" w:hAnsi="Arial" w:cs="Arial"/>
          <w:b/>
          <w:sz w:val="20"/>
          <w:szCs w:val="20"/>
        </w:rPr>
        <w:lastRenderedPageBreak/>
        <w:t xml:space="preserve">Fundamentos de la calificación de emisor </w:t>
      </w:r>
    </w:p>
    <w:p w14:paraId="1E2F0CBE" w14:textId="77777777" w:rsidR="00445BB0" w:rsidRPr="005732FC" w:rsidRDefault="00445BB0" w:rsidP="00FE745A">
      <w:pPr>
        <w:jc w:val="both"/>
        <w:rPr>
          <w:rFonts w:ascii="Arial" w:hAnsi="Arial" w:cs="Arial"/>
          <w:sz w:val="20"/>
          <w:szCs w:val="20"/>
        </w:rPr>
      </w:pPr>
      <w:r w:rsidRPr="005732FC">
        <w:rPr>
          <w:rFonts w:ascii="Arial" w:hAnsi="Arial" w:cs="Arial"/>
          <w:sz w:val="20"/>
          <w:szCs w:val="20"/>
        </w:rPr>
        <w:t xml:space="preserve">El alza en la calificación de emisor a A+.mx refleja el sólido desempeño de las métricas financieras del municipio, destacando el registro continuo de superávits operativos y financieros durante los últimos cuatro años. El incremento en el balance operativo del municipio es producto de una considerablemente alta tasa de crecimiento compuesto anualizado de sus ingresos operativos de 18.4% en el periodo 2020-2024, la cual superó al crecimiento compuesto anualizado de 11.8% del gasto operativo. </w:t>
      </w:r>
    </w:p>
    <w:p w14:paraId="0E08A473" w14:textId="77777777" w:rsidR="00445BB0" w:rsidRPr="005732FC" w:rsidRDefault="00445BB0" w:rsidP="00FE745A">
      <w:pPr>
        <w:jc w:val="both"/>
        <w:rPr>
          <w:rFonts w:ascii="Arial" w:hAnsi="Arial" w:cs="Arial"/>
          <w:sz w:val="20"/>
          <w:szCs w:val="20"/>
        </w:rPr>
      </w:pPr>
      <w:r w:rsidRPr="005732FC">
        <w:rPr>
          <w:rFonts w:ascii="Arial" w:hAnsi="Arial" w:cs="Arial"/>
          <w:sz w:val="20"/>
          <w:szCs w:val="20"/>
        </w:rPr>
        <w:t xml:space="preserve">Este elevado crecimiento de los ingresos operativos se explica en gran medida por un aumento sostenido de la recaudación de ingresos propios, observándose que el indicador de ingresos propios a ingresos operativos incrementó desde 56.3% en 2020 a 66.9% en 2024. </w:t>
      </w:r>
    </w:p>
    <w:p w14:paraId="7C9997EE" w14:textId="77777777" w:rsidR="00445BB0" w:rsidRPr="005732FC" w:rsidRDefault="00445BB0" w:rsidP="00FE745A">
      <w:pPr>
        <w:jc w:val="both"/>
        <w:rPr>
          <w:rFonts w:ascii="Arial" w:hAnsi="Arial" w:cs="Arial"/>
          <w:sz w:val="20"/>
          <w:szCs w:val="20"/>
        </w:rPr>
      </w:pPr>
      <w:r w:rsidRPr="005732FC">
        <w:rPr>
          <w:rFonts w:ascii="Arial" w:hAnsi="Arial" w:cs="Arial"/>
          <w:sz w:val="20"/>
          <w:szCs w:val="20"/>
        </w:rPr>
        <w:t>Por otro lado, la posición de liquidez del municipio se ha fortalecido a partir de 2021, resultado de la acumulación de disponibilidades de efectivo producto de los altos superávits financieros observados entre 2022 y 2024, los cuales fueron equivalentes en promedio al 9.3% de los ingresos totales. En 2021, el indicador de efectivo a pasivo circulante registró un nivel de 0.5 veces (x) e incrementó a 1.2x en 2023 y a 1.4x al cierre de 2024, un nivel fuerte.</w:t>
      </w:r>
    </w:p>
    <w:p w14:paraId="2B668298" w14:textId="77777777" w:rsidR="00445BB0" w:rsidRPr="005732FC" w:rsidRDefault="00445BB0" w:rsidP="00FE745A">
      <w:pPr>
        <w:jc w:val="both"/>
        <w:rPr>
          <w:rFonts w:ascii="Arial" w:hAnsi="Arial" w:cs="Arial"/>
          <w:b/>
          <w:sz w:val="20"/>
          <w:szCs w:val="20"/>
        </w:rPr>
      </w:pPr>
      <w:r w:rsidRPr="005732FC">
        <w:rPr>
          <w:rFonts w:ascii="Arial" w:hAnsi="Arial" w:cs="Arial"/>
          <w:b/>
          <w:sz w:val="20"/>
          <w:szCs w:val="20"/>
        </w:rPr>
        <w:t>Fundamentos de la perspectiva positiva</w:t>
      </w:r>
    </w:p>
    <w:p w14:paraId="16ACC1E2" w14:textId="77777777" w:rsidR="00445BB0" w:rsidRPr="005732FC" w:rsidRDefault="00445BB0" w:rsidP="00FE745A">
      <w:pPr>
        <w:jc w:val="both"/>
        <w:rPr>
          <w:rFonts w:ascii="Arial" w:hAnsi="Arial" w:cs="Arial"/>
          <w:sz w:val="20"/>
          <w:szCs w:val="20"/>
        </w:rPr>
      </w:pPr>
      <w:r w:rsidRPr="005732FC">
        <w:rPr>
          <w:rFonts w:ascii="Arial" w:hAnsi="Arial" w:cs="Arial"/>
          <w:sz w:val="20"/>
          <w:szCs w:val="20"/>
        </w:rPr>
        <w:t>La perspectiva positiva incorpora las expectativas de que durante 2025-2026 el Municipio mantendrá una sólida recaudación de ingresos propios, balances operativos positivos, una fuerte posición de liquidez y un nivel de endeudamiento decreciente. Asimismo, la perspectiva positiva incorpora las expectativas de que el municipio realizará una planeación y gestión financiera adecuada, respaldando su capacidad para manejar un entorno de mayor incertidumbre económica nacional y global.</w:t>
      </w:r>
    </w:p>
    <w:p w14:paraId="7C96CB92" w14:textId="77777777" w:rsidR="00445BB0" w:rsidRPr="005732FC" w:rsidRDefault="00445BB0" w:rsidP="00FE745A">
      <w:pPr>
        <w:jc w:val="both"/>
        <w:rPr>
          <w:rFonts w:ascii="Arial" w:hAnsi="Arial" w:cs="Arial"/>
          <w:b/>
          <w:sz w:val="20"/>
          <w:szCs w:val="20"/>
        </w:rPr>
      </w:pPr>
      <w:r w:rsidRPr="005732FC">
        <w:rPr>
          <w:rFonts w:ascii="Arial" w:hAnsi="Arial" w:cs="Arial"/>
          <w:b/>
          <w:sz w:val="20"/>
          <w:szCs w:val="20"/>
        </w:rPr>
        <w:t xml:space="preserve">Fundamentos de las calificaciones de deuda </w:t>
      </w:r>
    </w:p>
    <w:p w14:paraId="400CA364" w14:textId="77777777" w:rsidR="00445BB0" w:rsidRPr="005732FC" w:rsidRDefault="00445BB0" w:rsidP="00FE745A">
      <w:pPr>
        <w:jc w:val="both"/>
        <w:rPr>
          <w:rFonts w:ascii="Arial" w:hAnsi="Arial" w:cs="Arial"/>
          <w:sz w:val="20"/>
          <w:szCs w:val="20"/>
        </w:rPr>
      </w:pPr>
      <w:r w:rsidRPr="005732FC">
        <w:rPr>
          <w:rFonts w:ascii="Arial" w:hAnsi="Arial" w:cs="Arial"/>
          <w:sz w:val="20"/>
          <w:szCs w:val="20"/>
        </w:rPr>
        <w:t>El alza en las calificaciones de deuda a AAA.mx desde AA+.mx de dos créditos bancarios, respaldados por participaciones del Municipio de Benito Juárez, incorpora el incremento de la calificación de emisor a A+.mx. La acción también considera los indicadores financieros propios de las estructuras de deuda, con coberturas mínimas del servicio de la deuda proyectadas en un escenario base de 2.4x para el crédito contratado con BBVA por MXN 500 millones y de 2.5x para el crédito contratado con Banco Azteca por MXN 500 millones. Por otra parte, las coberturas mínimas del servicio de la deuda proyectadas en un escenario de estrés son de 2.0x para el crédito contratado con BBVA por MXN 500 millones y de 2.1x para el crédito contratado con Banco Azteca por MXN 500 millones. Ambas estructuras de deuda cuentan con un fondo de reserva equivalente a 2.0x el servicio mensual de la deuda.</w:t>
      </w:r>
    </w:p>
    <w:p w14:paraId="3FE4F6D7" w14:textId="77777777" w:rsidR="00445BB0" w:rsidRPr="005732FC" w:rsidRDefault="00445BB0" w:rsidP="00FE745A">
      <w:pPr>
        <w:jc w:val="both"/>
        <w:rPr>
          <w:rFonts w:ascii="Arial" w:hAnsi="Arial" w:cs="Arial"/>
          <w:b/>
          <w:sz w:val="20"/>
          <w:szCs w:val="20"/>
        </w:rPr>
      </w:pPr>
      <w:r w:rsidRPr="005732FC">
        <w:rPr>
          <w:rFonts w:ascii="Arial" w:hAnsi="Arial" w:cs="Arial"/>
          <w:b/>
          <w:sz w:val="20"/>
          <w:szCs w:val="20"/>
        </w:rPr>
        <w:t xml:space="preserve">Divulgaciones regulatorias </w:t>
      </w:r>
    </w:p>
    <w:p w14:paraId="4DDE62D5" w14:textId="77777777" w:rsidR="00445BB0" w:rsidRPr="005732FC" w:rsidRDefault="00445BB0" w:rsidP="00FE745A">
      <w:pPr>
        <w:jc w:val="both"/>
        <w:rPr>
          <w:rFonts w:ascii="Arial" w:hAnsi="Arial" w:cs="Arial"/>
          <w:sz w:val="20"/>
          <w:szCs w:val="20"/>
        </w:rPr>
      </w:pPr>
      <w:r w:rsidRPr="005732FC">
        <w:rPr>
          <w:rFonts w:ascii="Arial" w:hAnsi="Arial" w:cs="Arial"/>
          <w:sz w:val="20"/>
          <w:szCs w:val="20"/>
        </w:rPr>
        <w:t>Las revelaciones regulatorias contenidas en este comunicado de prensa aplican a la calificación crediticia y, de ser aplicable, a la perspectiva de la calificación o revisión de calificación respectiva. Moody’s Local México considera que la calidad de la información disponible sobre la entidad, obligación o crédito calificado es satisfactoria para efectos de emitir una calificación. Moody’s Local México adopta todas las medidas necesarias para que la información que utiliza para asignar una calificación sea de suficiente calidad y de fuentes que Moody’s Local México considera confiables, incluyendo, cuando corresponde, terceros independientes. Sin embargo, Moody’s Local México no es una firma de auditoría y no verifica, certifica o valida de manera independiente la información que recibe en su proceso de calificación.</w:t>
      </w:r>
    </w:p>
    <w:p w14:paraId="67825F37" w14:textId="77777777" w:rsidR="00445BB0" w:rsidRPr="005732FC" w:rsidRDefault="00445BB0" w:rsidP="00FE745A">
      <w:pPr>
        <w:jc w:val="both"/>
        <w:rPr>
          <w:rFonts w:ascii="Arial" w:hAnsi="Arial" w:cs="Arial"/>
          <w:sz w:val="20"/>
          <w:szCs w:val="20"/>
        </w:rPr>
      </w:pPr>
      <w:r w:rsidRPr="005732FC">
        <w:rPr>
          <w:rFonts w:ascii="Arial" w:hAnsi="Arial" w:cs="Arial"/>
          <w:sz w:val="20"/>
          <w:szCs w:val="20"/>
        </w:rPr>
        <w:t>Las calificaciones emitidas por Moody’s Local México son opiniones de la calidad crediticia de valores y/o sus emisores y no son una recomendación para invertir en dichos instrumentos y/o emisor.</w:t>
      </w:r>
    </w:p>
    <w:p w14:paraId="0F8BB905" w14:textId="77777777" w:rsidR="00445BB0" w:rsidRPr="005732FC" w:rsidRDefault="00445BB0" w:rsidP="00FE745A">
      <w:pPr>
        <w:spacing w:after="0"/>
        <w:jc w:val="both"/>
        <w:rPr>
          <w:rFonts w:ascii="Arial" w:hAnsi="Arial" w:cs="Arial"/>
          <w:sz w:val="20"/>
          <w:szCs w:val="20"/>
          <w:lang w:val="es-ES"/>
        </w:rPr>
      </w:pPr>
      <w:r w:rsidRPr="005732FC">
        <w:rPr>
          <w:rFonts w:ascii="Arial" w:hAnsi="Arial" w:cs="Arial"/>
          <w:sz w:val="20"/>
          <w:szCs w:val="20"/>
          <w:lang w:val="es-ES"/>
        </w:rPr>
        <w:t xml:space="preserve">Al Municipio de Benito Juárez lo califican dos empresas Calificadoras de valores, Fitch </w:t>
      </w:r>
      <w:proofErr w:type="spellStart"/>
      <w:r w:rsidRPr="005732FC">
        <w:rPr>
          <w:rFonts w:ascii="Arial" w:hAnsi="Arial" w:cs="Arial"/>
          <w:sz w:val="20"/>
          <w:szCs w:val="20"/>
          <w:lang w:val="es-ES"/>
        </w:rPr>
        <w:t>Rating´s</w:t>
      </w:r>
      <w:proofErr w:type="spellEnd"/>
      <w:r w:rsidRPr="005732FC">
        <w:rPr>
          <w:rFonts w:ascii="Arial" w:hAnsi="Arial" w:cs="Arial"/>
          <w:sz w:val="20"/>
          <w:szCs w:val="20"/>
          <w:lang w:val="es-ES"/>
        </w:rPr>
        <w:t xml:space="preserve"> </w:t>
      </w:r>
      <w:proofErr w:type="spellStart"/>
      <w:r w:rsidRPr="005732FC">
        <w:rPr>
          <w:rFonts w:ascii="Arial" w:hAnsi="Arial" w:cs="Arial"/>
          <w:sz w:val="20"/>
          <w:szCs w:val="20"/>
          <w:lang w:val="es-ES"/>
        </w:rPr>
        <w:t>yMoody´s</w:t>
      </w:r>
      <w:proofErr w:type="spellEnd"/>
      <w:r w:rsidRPr="005732FC">
        <w:rPr>
          <w:rFonts w:ascii="Arial" w:hAnsi="Arial" w:cs="Arial"/>
          <w:sz w:val="20"/>
          <w:szCs w:val="20"/>
          <w:lang w:val="es-ES"/>
        </w:rPr>
        <w:t xml:space="preserve"> Local, ambas empresas están avaladas por la Comisión Nacional Bancaria y de Valores </w:t>
      </w:r>
      <w:r w:rsidRPr="005732FC">
        <w:rPr>
          <w:rFonts w:ascii="Arial" w:hAnsi="Arial" w:cs="Arial"/>
          <w:b/>
          <w:bCs/>
          <w:sz w:val="20"/>
          <w:szCs w:val="20"/>
          <w:lang w:val="es-ES"/>
        </w:rPr>
        <w:t>(CNBV)</w:t>
      </w:r>
      <w:r w:rsidRPr="005732FC">
        <w:rPr>
          <w:rFonts w:ascii="Arial" w:hAnsi="Arial" w:cs="Arial"/>
          <w:sz w:val="20"/>
          <w:szCs w:val="20"/>
          <w:lang w:val="es-ES"/>
        </w:rPr>
        <w:t xml:space="preserve"> y son parte de las seis calificadoras existentes a nivel mundial que trabajan con distintos niveles de gobierno, emitiendo calificaciones y perspectivas de acuerdo a sus propias metodologías.</w:t>
      </w:r>
    </w:p>
    <w:p w14:paraId="7E45A7D7" w14:textId="77777777" w:rsidR="00445BB0" w:rsidRPr="005732FC" w:rsidRDefault="00445BB0" w:rsidP="00FE745A">
      <w:pPr>
        <w:spacing w:after="0"/>
        <w:jc w:val="both"/>
        <w:rPr>
          <w:rFonts w:ascii="Arial" w:hAnsi="Arial" w:cs="Arial"/>
          <w:sz w:val="20"/>
          <w:szCs w:val="20"/>
          <w:lang w:val="es-ES"/>
        </w:rPr>
      </w:pPr>
    </w:p>
    <w:p w14:paraId="517D900B" w14:textId="7F4AD462" w:rsidR="00BA3347" w:rsidRPr="005732FC" w:rsidRDefault="00445BB0" w:rsidP="00FE745A">
      <w:pPr>
        <w:spacing w:after="0"/>
        <w:jc w:val="both"/>
        <w:rPr>
          <w:lang w:val="es-ES"/>
        </w:rPr>
      </w:pPr>
      <w:r w:rsidRPr="005732FC">
        <w:rPr>
          <w:rFonts w:ascii="Arial" w:hAnsi="Arial" w:cs="Arial"/>
          <w:sz w:val="20"/>
          <w:szCs w:val="20"/>
          <w:lang w:val="es-ES"/>
        </w:rPr>
        <w:lastRenderedPageBreak/>
        <w:t xml:space="preserve">Esta nueva alza en la calificación coloca al Municipio de Benito Juárez en el rango de </w:t>
      </w:r>
      <w:r w:rsidRPr="005732FC">
        <w:rPr>
          <w:rFonts w:ascii="Arial" w:hAnsi="Arial" w:cs="Arial"/>
          <w:b/>
          <w:bCs/>
          <w:sz w:val="20"/>
          <w:szCs w:val="20"/>
          <w:lang w:val="es-ES"/>
        </w:rPr>
        <w:t>MUY ALTA CALIDAD CREDITICIA</w:t>
      </w:r>
      <w:r w:rsidRPr="005732FC">
        <w:rPr>
          <w:rFonts w:ascii="Arial" w:hAnsi="Arial" w:cs="Arial"/>
          <w:sz w:val="20"/>
          <w:szCs w:val="20"/>
          <w:lang w:val="es-ES"/>
        </w:rPr>
        <w:t xml:space="preserve"> con forme a la tabla de Correspondencia de Calificación y Grado de Riesgos a Largo Plazo emitida por la Comisión Nacional Bancaria.</w:t>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p>
    <w:p w14:paraId="662A5FC6" w14:textId="7CFC0A94" w:rsidR="00942765" w:rsidRPr="005732FC" w:rsidRDefault="00942765" w:rsidP="000D0B0B">
      <w:pPr>
        <w:pStyle w:val="Ttulo1"/>
        <w:numPr>
          <w:ilvl w:val="0"/>
          <w:numId w:val="6"/>
        </w:numPr>
        <w:ind w:left="0"/>
        <w:jc w:val="both"/>
        <w:rPr>
          <w:rFonts w:ascii="Arial" w:hAnsi="Arial" w:cs="Arial"/>
          <w:b/>
          <w:bCs/>
          <w:color w:val="auto"/>
          <w:sz w:val="20"/>
          <w:szCs w:val="20"/>
        </w:rPr>
      </w:pPr>
      <w:r w:rsidRPr="005732FC">
        <w:rPr>
          <w:rFonts w:ascii="Arial" w:hAnsi="Arial" w:cs="Arial"/>
          <w:b/>
          <w:bCs/>
          <w:color w:val="auto"/>
          <w:sz w:val="20"/>
          <w:szCs w:val="20"/>
        </w:rPr>
        <w:t>Proceso de mejora</w:t>
      </w:r>
    </w:p>
    <w:p w14:paraId="76C962CD" w14:textId="77777777" w:rsidR="00942765" w:rsidRPr="005732FC" w:rsidRDefault="00942765" w:rsidP="005D2B3E">
      <w:pPr>
        <w:spacing w:after="0"/>
        <w:rPr>
          <w:rFonts w:ascii="Arial" w:hAnsi="Arial" w:cs="Arial"/>
          <w:sz w:val="20"/>
          <w:szCs w:val="20"/>
        </w:rPr>
      </w:pPr>
    </w:p>
    <w:p w14:paraId="0458250D" w14:textId="32AA2350" w:rsidR="00942765" w:rsidRPr="005732FC" w:rsidRDefault="00642081" w:rsidP="005D2B3E">
      <w:pPr>
        <w:spacing w:after="0"/>
        <w:jc w:val="both"/>
        <w:rPr>
          <w:rFonts w:ascii="Arial" w:hAnsi="Arial" w:cs="Arial"/>
          <w:sz w:val="20"/>
          <w:szCs w:val="20"/>
        </w:rPr>
      </w:pPr>
      <w:r w:rsidRPr="005732FC">
        <w:rPr>
          <w:rFonts w:ascii="Arial" w:hAnsi="Arial" w:cs="Arial"/>
          <w:sz w:val="20"/>
          <w:szCs w:val="20"/>
        </w:rPr>
        <w:t>Para mantener un correcto control interno de las operaciones del Municipio de Benito Juárez, la Contraloría Municipal, en el ejercicio de sus facultades, ha establecido los Lineamientos para el Ejercicio y Control del Gasto, así como lineamientos para la realización de las auditorías internas y revisiones preventivas de las Secretarías, Dependencias y Entidades que forman parte de este Municipio.</w:t>
      </w:r>
    </w:p>
    <w:p w14:paraId="4C5A22E4" w14:textId="77777777" w:rsidR="00642081" w:rsidRPr="005732FC" w:rsidRDefault="00642081" w:rsidP="005D2B3E">
      <w:pPr>
        <w:spacing w:after="0"/>
        <w:jc w:val="both"/>
        <w:rPr>
          <w:rFonts w:ascii="Arial" w:hAnsi="Arial" w:cs="Arial"/>
          <w:sz w:val="20"/>
          <w:szCs w:val="20"/>
        </w:rPr>
      </w:pPr>
    </w:p>
    <w:p w14:paraId="6AB2D9AD" w14:textId="6A55A3C7" w:rsidR="00EA27E2" w:rsidRPr="005732FC" w:rsidRDefault="00642081" w:rsidP="005D2B3E">
      <w:pPr>
        <w:spacing w:after="0"/>
        <w:jc w:val="both"/>
        <w:rPr>
          <w:rFonts w:ascii="Arial" w:hAnsi="Arial" w:cs="Arial"/>
          <w:sz w:val="20"/>
          <w:szCs w:val="20"/>
        </w:rPr>
      </w:pPr>
      <w:r w:rsidRPr="005732FC">
        <w:rPr>
          <w:rFonts w:ascii="Arial" w:hAnsi="Arial" w:cs="Arial"/>
          <w:sz w:val="20"/>
          <w:szCs w:val="20"/>
        </w:rPr>
        <w:t>La Dirección de Planeación Municipal es la encargada de realizar las acciones pertinentes para conocer</w:t>
      </w:r>
      <w:r w:rsidR="00EA27E2" w:rsidRPr="005732FC">
        <w:rPr>
          <w:rFonts w:ascii="Arial" w:hAnsi="Arial" w:cs="Arial"/>
          <w:sz w:val="20"/>
          <w:szCs w:val="20"/>
        </w:rPr>
        <w:t xml:space="preserve"> el avance de los objetivos, metas, estrategias y líneas de acción que derivan del Plan Municipal.</w:t>
      </w:r>
    </w:p>
    <w:p w14:paraId="4AF1C11A" w14:textId="0AB9FB37" w:rsidR="008701B2" w:rsidRPr="005732FC" w:rsidRDefault="008701B2" w:rsidP="00C43845">
      <w:pPr>
        <w:pStyle w:val="Ttulo1"/>
        <w:numPr>
          <w:ilvl w:val="0"/>
          <w:numId w:val="6"/>
        </w:numPr>
        <w:spacing w:after="240"/>
        <w:ind w:left="0"/>
        <w:rPr>
          <w:rFonts w:ascii="Arial" w:hAnsi="Arial" w:cs="Arial"/>
          <w:b/>
          <w:bCs/>
          <w:color w:val="auto"/>
          <w:sz w:val="20"/>
          <w:szCs w:val="20"/>
        </w:rPr>
      </w:pPr>
      <w:r w:rsidRPr="005732FC">
        <w:rPr>
          <w:rFonts w:ascii="Arial" w:hAnsi="Arial" w:cs="Arial"/>
          <w:b/>
          <w:bCs/>
          <w:color w:val="auto"/>
          <w:sz w:val="20"/>
          <w:szCs w:val="20"/>
        </w:rPr>
        <w:t>Información por segmentos.</w:t>
      </w:r>
    </w:p>
    <w:p w14:paraId="0F104D46" w14:textId="356FF290" w:rsidR="00930683" w:rsidRPr="005732FC" w:rsidRDefault="00C43845" w:rsidP="00C43845">
      <w:pPr>
        <w:spacing w:after="240"/>
        <w:rPr>
          <w:rFonts w:ascii="Arial" w:hAnsi="Arial" w:cs="Arial"/>
          <w:sz w:val="20"/>
          <w:szCs w:val="20"/>
        </w:rPr>
      </w:pPr>
      <w:r w:rsidRPr="005732FC">
        <w:rPr>
          <w:rFonts w:ascii="Arial" w:hAnsi="Arial" w:cs="Arial"/>
          <w:sz w:val="20"/>
          <w:szCs w:val="20"/>
        </w:rPr>
        <w:t>Al cierre del periodo que se presenta, el Municipio de Benito Juárez no presenta información por segmentos que revelar.</w:t>
      </w:r>
    </w:p>
    <w:p w14:paraId="2D1D3904" w14:textId="2257EAA3" w:rsidR="00EA27E2" w:rsidRPr="005732FC" w:rsidRDefault="00EA27E2" w:rsidP="005D2B3E">
      <w:pPr>
        <w:pStyle w:val="Ttulo1"/>
        <w:numPr>
          <w:ilvl w:val="0"/>
          <w:numId w:val="6"/>
        </w:numPr>
        <w:ind w:left="0"/>
        <w:rPr>
          <w:rFonts w:ascii="Arial" w:hAnsi="Arial" w:cs="Arial"/>
          <w:b/>
          <w:bCs/>
          <w:color w:val="auto"/>
          <w:sz w:val="20"/>
          <w:szCs w:val="20"/>
        </w:rPr>
      </w:pPr>
      <w:r w:rsidRPr="005732FC">
        <w:rPr>
          <w:rFonts w:ascii="Arial" w:hAnsi="Arial" w:cs="Arial"/>
          <w:b/>
          <w:bCs/>
          <w:color w:val="auto"/>
          <w:sz w:val="20"/>
          <w:szCs w:val="20"/>
        </w:rPr>
        <w:t>Eventos Posteriores al cierre</w:t>
      </w:r>
    </w:p>
    <w:p w14:paraId="3854B313" w14:textId="77777777" w:rsidR="009920A2" w:rsidRPr="005732FC" w:rsidRDefault="009920A2" w:rsidP="005D2B3E">
      <w:pPr>
        <w:spacing w:after="0"/>
        <w:rPr>
          <w:rFonts w:ascii="Arial" w:hAnsi="Arial" w:cs="Arial"/>
          <w:sz w:val="20"/>
          <w:szCs w:val="20"/>
        </w:rPr>
      </w:pPr>
    </w:p>
    <w:p w14:paraId="7ED69E8D" w14:textId="1D42B6E6" w:rsidR="009920A2" w:rsidRPr="005732FC" w:rsidRDefault="00EA27E2" w:rsidP="00FE745A">
      <w:pPr>
        <w:spacing w:after="0"/>
        <w:jc w:val="both"/>
        <w:rPr>
          <w:rFonts w:ascii="Arial" w:hAnsi="Arial" w:cs="Arial"/>
          <w:sz w:val="20"/>
          <w:szCs w:val="20"/>
        </w:rPr>
      </w:pPr>
      <w:r w:rsidRPr="005732FC">
        <w:rPr>
          <w:rFonts w:ascii="Arial" w:hAnsi="Arial" w:cs="Arial"/>
          <w:sz w:val="20"/>
          <w:szCs w:val="20"/>
        </w:rPr>
        <w:t xml:space="preserve">No existen eventos </w:t>
      </w:r>
      <w:r w:rsidR="00C51D43" w:rsidRPr="005732FC">
        <w:rPr>
          <w:rFonts w:ascii="Arial" w:hAnsi="Arial" w:cs="Arial"/>
          <w:sz w:val="20"/>
          <w:szCs w:val="20"/>
        </w:rPr>
        <w:t>posteriores al cierre de este periodo que manifestar y que afecten económicamente a los Estados Financieros, de manera significativa.</w:t>
      </w:r>
    </w:p>
    <w:p w14:paraId="6E458331" w14:textId="7278F2A4" w:rsidR="00BA3347" w:rsidRPr="005732FC" w:rsidRDefault="00BA3347" w:rsidP="005D2B3E">
      <w:pPr>
        <w:pStyle w:val="Ttulo1"/>
        <w:numPr>
          <w:ilvl w:val="0"/>
          <w:numId w:val="6"/>
        </w:numPr>
        <w:ind w:left="0"/>
        <w:rPr>
          <w:rFonts w:ascii="Arial" w:hAnsi="Arial" w:cs="Arial"/>
          <w:b/>
          <w:bCs/>
          <w:sz w:val="20"/>
          <w:szCs w:val="20"/>
        </w:rPr>
      </w:pPr>
      <w:r w:rsidRPr="005732FC">
        <w:rPr>
          <w:rFonts w:ascii="Arial" w:hAnsi="Arial" w:cs="Arial"/>
          <w:b/>
          <w:bCs/>
          <w:color w:val="auto"/>
          <w:sz w:val="20"/>
          <w:szCs w:val="20"/>
        </w:rPr>
        <w:t>Partes relacionadas</w:t>
      </w:r>
      <w:r w:rsidRPr="005732FC">
        <w:rPr>
          <w:rFonts w:ascii="Arial" w:hAnsi="Arial" w:cs="Arial"/>
          <w:b/>
          <w:bCs/>
          <w:color w:val="auto"/>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533DEC7E" w14:textId="77777777" w:rsidR="00F05338" w:rsidRPr="005732FC" w:rsidRDefault="00F05338" w:rsidP="005D2B3E">
      <w:pPr>
        <w:spacing w:after="0"/>
        <w:jc w:val="both"/>
        <w:rPr>
          <w:rFonts w:ascii="Arial" w:hAnsi="Arial" w:cs="Arial"/>
          <w:sz w:val="20"/>
          <w:szCs w:val="20"/>
        </w:rPr>
      </w:pPr>
    </w:p>
    <w:p w14:paraId="0639DB50" w14:textId="02920620" w:rsidR="00C43845" w:rsidRPr="005732FC" w:rsidRDefault="00BA3347" w:rsidP="005D2B3E">
      <w:pPr>
        <w:spacing w:after="0"/>
        <w:jc w:val="both"/>
        <w:rPr>
          <w:rFonts w:ascii="Arial" w:hAnsi="Arial" w:cs="Arial"/>
          <w:sz w:val="20"/>
          <w:szCs w:val="20"/>
        </w:rPr>
      </w:pPr>
      <w:r w:rsidRPr="005732FC">
        <w:rPr>
          <w:rFonts w:ascii="Arial" w:hAnsi="Arial" w:cs="Arial"/>
          <w:sz w:val="20"/>
          <w:szCs w:val="20"/>
        </w:rPr>
        <w:t xml:space="preserve">Al </w:t>
      </w:r>
      <w:r w:rsidR="008B2AA5" w:rsidRPr="005732FC">
        <w:rPr>
          <w:rFonts w:ascii="Arial" w:hAnsi="Arial" w:cs="Arial"/>
          <w:sz w:val="20"/>
          <w:szCs w:val="20"/>
        </w:rPr>
        <w:t>cierre del período que se presenta</w:t>
      </w:r>
      <w:r w:rsidRPr="005732FC">
        <w:rPr>
          <w:rFonts w:ascii="Arial" w:hAnsi="Arial" w:cs="Arial"/>
          <w:sz w:val="20"/>
          <w:szCs w:val="20"/>
        </w:rPr>
        <w:t>, el Municipio de Benito Juárez no cuenta con pa</w:t>
      </w:r>
      <w:r w:rsidR="009920A2" w:rsidRPr="005732FC">
        <w:rPr>
          <w:rFonts w:ascii="Arial" w:hAnsi="Arial" w:cs="Arial"/>
          <w:sz w:val="20"/>
          <w:szCs w:val="20"/>
        </w:rPr>
        <w:t>r</w:t>
      </w:r>
      <w:r w:rsidRPr="005732FC">
        <w:rPr>
          <w:rFonts w:ascii="Arial" w:hAnsi="Arial" w:cs="Arial"/>
          <w:sz w:val="20"/>
          <w:szCs w:val="20"/>
        </w:rPr>
        <w:t>tes relacionadas.</w:t>
      </w:r>
    </w:p>
    <w:p w14:paraId="1C5E0DEA" w14:textId="01406AF6" w:rsidR="00C43845" w:rsidRPr="005732FC" w:rsidRDefault="00C43845" w:rsidP="00C43845">
      <w:pPr>
        <w:pStyle w:val="Ttulo1"/>
        <w:numPr>
          <w:ilvl w:val="0"/>
          <w:numId w:val="6"/>
        </w:numPr>
        <w:ind w:left="0"/>
        <w:rPr>
          <w:rFonts w:ascii="Arial" w:hAnsi="Arial" w:cs="Arial"/>
          <w:b/>
          <w:bCs/>
          <w:color w:val="auto"/>
          <w:sz w:val="20"/>
          <w:szCs w:val="20"/>
        </w:rPr>
      </w:pPr>
      <w:r w:rsidRPr="005732FC">
        <w:rPr>
          <w:rFonts w:ascii="Arial" w:hAnsi="Arial" w:cs="Arial"/>
          <w:b/>
          <w:bCs/>
          <w:color w:val="auto"/>
          <w:sz w:val="20"/>
          <w:szCs w:val="20"/>
        </w:rPr>
        <w:t>Responsabilidad Sobre la Presentación Razonable de la Información Contable.</w:t>
      </w:r>
    </w:p>
    <w:p w14:paraId="08D63916" w14:textId="77777777" w:rsidR="00C43845" w:rsidRPr="005732FC" w:rsidRDefault="00C43845" w:rsidP="00C43845">
      <w:pPr>
        <w:spacing w:after="0" w:line="240" w:lineRule="auto"/>
        <w:ind w:left="-142"/>
        <w:jc w:val="center"/>
        <w:rPr>
          <w:rFonts w:ascii="Arial" w:eastAsia="Times New Roman" w:hAnsi="Arial" w:cs="Arial"/>
          <w:sz w:val="20"/>
          <w:szCs w:val="20"/>
          <w:lang w:eastAsia="es-ES"/>
        </w:rPr>
      </w:pPr>
    </w:p>
    <w:p w14:paraId="1D58B58F" w14:textId="77777777" w:rsidR="00C43845" w:rsidRPr="005732FC" w:rsidRDefault="00C43845" w:rsidP="00C43845">
      <w:pPr>
        <w:spacing w:after="0" w:line="240" w:lineRule="auto"/>
        <w:ind w:left="-142"/>
        <w:rPr>
          <w:rFonts w:ascii="Arial" w:eastAsia="Times New Roman" w:hAnsi="Arial" w:cs="Arial"/>
          <w:sz w:val="20"/>
          <w:szCs w:val="20"/>
          <w:lang w:eastAsia="es-ES"/>
        </w:rPr>
      </w:pPr>
      <w:r w:rsidRPr="005732FC">
        <w:rPr>
          <w:rFonts w:ascii="Arial" w:eastAsia="Times New Roman" w:hAnsi="Arial" w:cs="Arial"/>
          <w:sz w:val="20"/>
          <w:szCs w:val="20"/>
          <w:lang w:eastAsia="es-ES"/>
        </w:rPr>
        <w:t>“Bajo protesta de decir verdad declaramos que los Estados Financieros y sus Notas, son razonablemente correctos y son responsabilidad del emisor”.</w:t>
      </w:r>
    </w:p>
    <w:p w14:paraId="2B41BCEF" w14:textId="77777777" w:rsidR="00EB64DF" w:rsidRPr="005732FC" w:rsidRDefault="00EB64DF" w:rsidP="00C43845">
      <w:pPr>
        <w:spacing w:after="0" w:line="240" w:lineRule="auto"/>
        <w:ind w:left="-142"/>
        <w:rPr>
          <w:rFonts w:ascii="Arial" w:eastAsia="Times New Roman" w:hAnsi="Arial" w:cs="Arial"/>
          <w:sz w:val="20"/>
          <w:szCs w:val="20"/>
          <w:lang w:eastAsia="es-ES"/>
        </w:rPr>
      </w:pPr>
    </w:p>
    <w:p w14:paraId="1925129D" w14:textId="7F713F2E"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Style w:val="Tablaconcuadrcula"/>
        <w:tblW w:w="5000" w:type="pct"/>
        <w:tblLook w:val="04A0" w:firstRow="1" w:lastRow="0" w:firstColumn="1" w:lastColumn="0" w:noHBand="0" w:noVBand="1"/>
      </w:tblPr>
      <w:tblGrid>
        <w:gridCol w:w="10790"/>
      </w:tblGrid>
      <w:tr w:rsidR="00F05338" w:rsidRPr="005732FC" w14:paraId="3A5F3836" w14:textId="77777777" w:rsidTr="005643E1">
        <w:tc>
          <w:tcPr>
            <w:tcW w:w="5000" w:type="pct"/>
          </w:tcPr>
          <w:p w14:paraId="7F45F89A" w14:textId="65B7D5F2" w:rsidR="00F05338" w:rsidRPr="005732FC" w:rsidRDefault="00F05338" w:rsidP="005D2B3E">
            <w:pPr>
              <w:spacing w:line="259" w:lineRule="auto"/>
              <w:jc w:val="center"/>
              <w:rPr>
                <w:rFonts w:ascii="Arial" w:hAnsi="Arial" w:cs="Arial"/>
                <w:b/>
                <w:bCs/>
                <w:sz w:val="20"/>
                <w:szCs w:val="20"/>
              </w:rPr>
            </w:pPr>
            <w:r w:rsidRPr="005732FC">
              <w:rPr>
                <w:rFonts w:ascii="Arial" w:hAnsi="Arial" w:cs="Arial"/>
                <w:b/>
                <w:bCs/>
                <w:sz w:val="20"/>
                <w:szCs w:val="20"/>
              </w:rPr>
              <w:t>b) NOTAS DE DESGLOSE</w:t>
            </w:r>
          </w:p>
        </w:tc>
      </w:tr>
    </w:tbl>
    <w:p w14:paraId="649ACC9E" w14:textId="694E1C0D"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p>
    <w:p w14:paraId="21A8C435" w14:textId="77777777" w:rsidR="00BA3347" w:rsidRPr="005732FC" w:rsidRDefault="00BA3347" w:rsidP="005D2B3E">
      <w:pPr>
        <w:pStyle w:val="Ttulo1"/>
        <w:rPr>
          <w:rFonts w:ascii="Arial" w:hAnsi="Arial" w:cs="Arial"/>
          <w:b/>
          <w:bCs/>
          <w:sz w:val="20"/>
          <w:szCs w:val="20"/>
        </w:rPr>
      </w:pPr>
      <w:r w:rsidRPr="005732FC">
        <w:rPr>
          <w:rFonts w:ascii="Arial" w:hAnsi="Arial" w:cs="Arial"/>
          <w:b/>
          <w:bCs/>
          <w:color w:val="auto"/>
          <w:sz w:val="20"/>
          <w:szCs w:val="20"/>
        </w:rPr>
        <w:t>I</w:t>
      </w:r>
      <w:r w:rsidRPr="005732FC">
        <w:rPr>
          <w:rFonts w:ascii="Arial" w:hAnsi="Arial" w:cs="Arial"/>
          <w:b/>
          <w:bCs/>
          <w:color w:val="auto"/>
          <w:sz w:val="20"/>
          <w:szCs w:val="20"/>
        </w:rPr>
        <w:tab/>
        <w:t>Notas al Estado de Actividades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1F812730" w14:textId="77777777" w:rsidR="00C43845" w:rsidRPr="005732FC" w:rsidRDefault="00BA3347" w:rsidP="005D2B3E">
      <w:pPr>
        <w:spacing w:after="0"/>
        <w:jc w:val="both"/>
        <w:rPr>
          <w:rFonts w:ascii="Arial" w:hAnsi="Arial" w:cs="Arial"/>
          <w:b/>
          <w:bCs/>
          <w:sz w:val="20"/>
          <w:szCs w:val="20"/>
        </w:rPr>
      </w:pPr>
      <w:r w:rsidRPr="005732FC">
        <w:rPr>
          <w:rFonts w:ascii="Arial" w:hAnsi="Arial" w:cs="Arial"/>
          <w:b/>
          <w:bCs/>
          <w:sz w:val="20"/>
          <w:szCs w:val="20"/>
        </w:rPr>
        <w:tab/>
      </w:r>
    </w:p>
    <w:p w14:paraId="2322C555" w14:textId="7195C7C9" w:rsidR="00C43845" w:rsidRPr="005732FC" w:rsidRDefault="00C43845" w:rsidP="005D2B3E">
      <w:pPr>
        <w:spacing w:after="0"/>
        <w:jc w:val="both"/>
        <w:rPr>
          <w:rFonts w:ascii="Arial" w:hAnsi="Arial" w:cs="Arial"/>
          <w:b/>
          <w:bCs/>
          <w:sz w:val="20"/>
          <w:szCs w:val="20"/>
        </w:rPr>
      </w:pPr>
      <w:r w:rsidRPr="005732FC">
        <w:rPr>
          <w:rFonts w:ascii="Arial" w:hAnsi="Arial" w:cs="Arial"/>
          <w:b/>
          <w:bCs/>
          <w:sz w:val="20"/>
          <w:szCs w:val="20"/>
        </w:rPr>
        <w:t>Ingresos y Otros Beneficios</w:t>
      </w:r>
    </w:p>
    <w:p w14:paraId="79CC693F" w14:textId="77777777" w:rsidR="007D5719" w:rsidRPr="005732FC" w:rsidRDefault="007D5719" w:rsidP="007D5719">
      <w:pPr>
        <w:spacing w:after="0"/>
        <w:jc w:val="both"/>
        <w:rPr>
          <w:rFonts w:ascii="Arial" w:hAnsi="Arial" w:cs="Arial"/>
          <w:b/>
          <w:bCs/>
          <w:sz w:val="20"/>
          <w:szCs w:val="20"/>
        </w:rPr>
      </w:pP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31EE8BC0" w14:textId="77777777" w:rsidR="007D5719" w:rsidRPr="005732FC" w:rsidRDefault="007D5719" w:rsidP="007D5719">
      <w:pPr>
        <w:keepNext/>
        <w:keepLines/>
        <w:numPr>
          <w:ilvl w:val="1"/>
          <w:numId w:val="12"/>
        </w:numPr>
        <w:spacing w:before="40" w:after="0"/>
        <w:ind w:left="0" w:hanging="284"/>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sz w:val="20"/>
          <w:szCs w:val="20"/>
        </w:rPr>
        <w:t xml:space="preserve"> Ingresos de Gestión</w:t>
      </w:r>
      <w:r w:rsidRPr="005732FC">
        <w:rPr>
          <w:rFonts w:ascii="Arial" w:eastAsiaTheme="majorEastAsia" w:hAnsi="Arial" w:cs="Arial"/>
          <w:color w:val="2F5496" w:themeColor="accent1" w:themeShade="BF"/>
          <w:sz w:val="20"/>
          <w:szCs w:val="20"/>
        </w:rPr>
        <w:tab/>
      </w:r>
    </w:p>
    <w:p w14:paraId="277413F3" w14:textId="77777777" w:rsidR="007D5719" w:rsidRPr="005732FC" w:rsidRDefault="007D5719" w:rsidP="007D5719">
      <w:pPr>
        <w:spacing w:after="0"/>
        <w:jc w:val="both"/>
        <w:rPr>
          <w:rFonts w:ascii="Arial" w:hAnsi="Arial" w:cs="Arial"/>
          <w:sz w:val="20"/>
          <w:szCs w:val="20"/>
        </w:rPr>
      </w:pPr>
    </w:p>
    <w:p w14:paraId="6E4D8660" w14:textId="11B7CA5D" w:rsidR="004E1B49" w:rsidRPr="005732FC" w:rsidRDefault="007D5719" w:rsidP="004E1B49">
      <w:pPr>
        <w:spacing w:after="0"/>
        <w:jc w:val="both"/>
        <w:rPr>
          <w:rFonts w:ascii="Arial" w:hAnsi="Arial" w:cs="Arial"/>
          <w:sz w:val="20"/>
          <w:szCs w:val="20"/>
        </w:rPr>
      </w:pPr>
      <w:r w:rsidRPr="005732FC">
        <w:rPr>
          <w:rFonts w:ascii="Arial" w:hAnsi="Arial" w:cs="Arial"/>
          <w:sz w:val="20"/>
          <w:szCs w:val="20"/>
        </w:rPr>
        <w:t>Los ingresos de gestión corresponden a las contribuciones, productos, aprovechamientos, así como la venta de bienes y servicios; el monto al 30 de junio del 2025 se detalla a continuación:</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004E1B49" w:rsidRPr="005732FC">
        <w:rPr>
          <w:rFonts w:ascii="Arial" w:hAnsi="Arial" w:cs="Arial"/>
          <w:sz w:val="20"/>
          <w:szCs w:val="20"/>
        </w:rPr>
        <w:tab/>
      </w:r>
      <w:r w:rsidR="004E1B49" w:rsidRPr="005732FC">
        <w:rPr>
          <w:rFonts w:ascii="Arial" w:hAnsi="Arial" w:cs="Arial"/>
          <w:sz w:val="20"/>
          <w:szCs w:val="20"/>
        </w:rPr>
        <w:tab/>
      </w:r>
      <w:r w:rsidR="004E1B49" w:rsidRPr="005732FC">
        <w:rPr>
          <w:rFonts w:ascii="Arial" w:hAnsi="Arial" w:cs="Arial"/>
          <w:sz w:val="20"/>
          <w:szCs w:val="20"/>
        </w:rPr>
        <w:tab/>
      </w:r>
      <w:r w:rsidR="004E1B49" w:rsidRPr="005732FC">
        <w:rPr>
          <w:rFonts w:ascii="Arial" w:hAnsi="Arial" w:cs="Arial"/>
          <w:sz w:val="20"/>
          <w:szCs w:val="20"/>
        </w:rPr>
        <w:tab/>
      </w:r>
      <w:r w:rsidR="004E1B49" w:rsidRPr="005732FC">
        <w:rPr>
          <w:rFonts w:ascii="Arial" w:hAnsi="Arial" w:cs="Arial"/>
          <w:sz w:val="20"/>
          <w:szCs w:val="20"/>
        </w:rPr>
        <w:tab/>
      </w:r>
      <w:r w:rsidR="004E1B49" w:rsidRPr="005732FC">
        <w:rPr>
          <w:rFonts w:ascii="Arial" w:hAnsi="Arial" w:cs="Arial"/>
          <w:sz w:val="20"/>
          <w:szCs w:val="20"/>
        </w:rPr>
        <w:tab/>
      </w:r>
    </w:p>
    <w:tbl>
      <w:tblPr>
        <w:tblW w:w="7513" w:type="dxa"/>
        <w:tblCellMar>
          <w:left w:w="70" w:type="dxa"/>
          <w:right w:w="70" w:type="dxa"/>
        </w:tblCellMar>
        <w:tblLook w:val="04A0" w:firstRow="1" w:lastRow="0" w:firstColumn="1" w:lastColumn="0" w:noHBand="0" w:noVBand="1"/>
      </w:tblPr>
      <w:tblGrid>
        <w:gridCol w:w="4771"/>
        <w:gridCol w:w="146"/>
        <w:gridCol w:w="196"/>
        <w:gridCol w:w="2400"/>
      </w:tblGrid>
      <w:tr w:rsidR="007D5719" w:rsidRPr="005732FC" w14:paraId="227A52CD" w14:textId="77777777" w:rsidTr="008C77A6">
        <w:trPr>
          <w:trHeight w:val="20"/>
          <w:tblHeader/>
        </w:trPr>
        <w:tc>
          <w:tcPr>
            <w:tcW w:w="5113" w:type="dxa"/>
            <w:gridSpan w:val="3"/>
            <w:tcBorders>
              <w:top w:val="single" w:sz="8" w:space="0" w:color="auto"/>
              <w:left w:val="nil"/>
              <w:bottom w:val="single" w:sz="8" w:space="0" w:color="auto"/>
              <w:right w:val="nil"/>
            </w:tcBorders>
            <w:shd w:val="clear" w:color="auto" w:fill="D9D9D9" w:themeFill="background1" w:themeFillShade="D9"/>
            <w:noWrap/>
            <w:vAlign w:val="center"/>
            <w:hideMark/>
          </w:tcPr>
          <w:p w14:paraId="5C549C6D" w14:textId="77777777" w:rsidR="007D5719" w:rsidRPr="005732FC" w:rsidRDefault="007D5719"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400" w:type="dxa"/>
            <w:tcBorders>
              <w:top w:val="single" w:sz="8" w:space="0" w:color="auto"/>
              <w:left w:val="nil"/>
              <w:bottom w:val="single" w:sz="8" w:space="0" w:color="auto"/>
              <w:right w:val="nil"/>
            </w:tcBorders>
            <w:shd w:val="clear" w:color="auto" w:fill="D9D9D9" w:themeFill="background1" w:themeFillShade="D9"/>
            <w:noWrap/>
            <w:vAlign w:val="center"/>
            <w:hideMark/>
          </w:tcPr>
          <w:p w14:paraId="3501D5F8" w14:textId="77777777" w:rsidR="007D5719" w:rsidRPr="005732FC" w:rsidRDefault="007D5719"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30 de junio 2025</w:t>
            </w:r>
          </w:p>
        </w:tc>
      </w:tr>
      <w:tr w:rsidR="007D5719" w:rsidRPr="005732FC" w14:paraId="03976AA7" w14:textId="77777777" w:rsidTr="008C77A6">
        <w:trPr>
          <w:trHeight w:val="20"/>
        </w:trPr>
        <w:tc>
          <w:tcPr>
            <w:tcW w:w="4771" w:type="dxa"/>
            <w:tcBorders>
              <w:top w:val="nil"/>
              <w:left w:val="nil"/>
              <w:bottom w:val="nil"/>
              <w:right w:val="nil"/>
            </w:tcBorders>
            <w:noWrap/>
            <w:vAlign w:val="center"/>
            <w:hideMark/>
          </w:tcPr>
          <w:p w14:paraId="49C755CB" w14:textId="77777777" w:rsidR="007D5719" w:rsidRPr="00530AB2" w:rsidRDefault="007D5719" w:rsidP="008C77A6">
            <w:pPr>
              <w:pStyle w:val="Sinespaciado"/>
              <w:rPr>
                <w:rFonts w:ascii="Arial" w:hAnsi="Arial" w:cs="Arial"/>
                <w:b/>
                <w:bCs/>
                <w:sz w:val="20"/>
                <w:szCs w:val="20"/>
                <w:lang w:eastAsia="es-MX"/>
              </w:rPr>
            </w:pPr>
            <w:r w:rsidRPr="00530AB2">
              <w:rPr>
                <w:rFonts w:ascii="Arial" w:hAnsi="Arial" w:cs="Arial"/>
                <w:b/>
                <w:bCs/>
                <w:sz w:val="20"/>
                <w:szCs w:val="20"/>
                <w:lang w:eastAsia="es-MX"/>
              </w:rPr>
              <w:t>Impuestos</w:t>
            </w:r>
          </w:p>
        </w:tc>
        <w:tc>
          <w:tcPr>
            <w:tcW w:w="146" w:type="dxa"/>
            <w:tcBorders>
              <w:top w:val="nil"/>
              <w:left w:val="nil"/>
              <w:bottom w:val="nil"/>
              <w:right w:val="nil"/>
            </w:tcBorders>
            <w:noWrap/>
            <w:vAlign w:val="center"/>
            <w:hideMark/>
          </w:tcPr>
          <w:p w14:paraId="7F3325FB" w14:textId="77777777" w:rsidR="007D5719" w:rsidRPr="00530AB2" w:rsidRDefault="007D5719" w:rsidP="008C77A6">
            <w:pPr>
              <w:pStyle w:val="Sinespaciado"/>
              <w:rPr>
                <w:rFonts w:ascii="Arial" w:hAnsi="Arial" w:cs="Arial"/>
                <w:b/>
                <w:bCs/>
                <w:sz w:val="20"/>
                <w:szCs w:val="20"/>
                <w:lang w:eastAsia="es-MX"/>
              </w:rPr>
            </w:pPr>
          </w:p>
        </w:tc>
        <w:tc>
          <w:tcPr>
            <w:tcW w:w="196" w:type="dxa"/>
            <w:tcBorders>
              <w:top w:val="nil"/>
              <w:left w:val="nil"/>
              <w:bottom w:val="nil"/>
              <w:right w:val="nil"/>
            </w:tcBorders>
            <w:noWrap/>
            <w:vAlign w:val="center"/>
            <w:hideMark/>
          </w:tcPr>
          <w:p w14:paraId="68451B32" w14:textId="77777777" w:rsidR="007D5719" w:rsidRPr="00530AB2" w:rsidRDefault="007D5719" w:rsidP="008C77A6">
            <w:pPr>
              <w:pStyle w:val="Sinespaciado"/>
              <w:rPr>
                <w:rFonts w:ascii="Arial" w:hAnsi="Arial" w:cs="Arial"/>
                <w:b/>
                <w:bCs/>
                <w:sz w:val="20"/>
                <w:szCs w:val="20"/>
                <w:lang w:eastAsia="es-MX"/>
              </w:rPr>
            </w:pPr>
          </w:p>
        </w:tc>
        <w:tc>
          <w:tcPr>
            <w:tcW w:w="2400" w:type="dxa"/>
            <w:tcBorders>
              <w:top w:val="nil"/>
              <w:left w:val="nil"/>
              <w:bottom w:val="nil"/>
              <w:right w:val="nil"/>
            </w:tcBorders>
            <w:noWrap/>
            <w:vAlign w:val="center"/>
            <w:hideMark/>
          </w:tcPr>
          <w:p w14:paraId="3E3147AC" w14:textId="77777777" w:rsidR="007D5719" w:rsidRPr="00530AB2" w:rsidRDefault="007D5719" w:rsidP="008C77A6">
            <w:pPr>
              <w:pStyle w:val="Sinespaciado"/>
              <w:jc w:val="right"/>
              <w:rPr>
                <w:rFonts w:ascii="Arial" w:hAnsi="Arial" w:cs="Arial"/>
                <w:b/>
                <w:bCs/>
                <w:sz w:val="20"/>
                <w:szCs w:val="20"/>
              </w:rPr>
            </w:pPr>
            <w:r w:rsidRPr="00530AB2">
              <w:rPr>
                <w:rFonts w:ascii="Arial" w:hAnsi="Arial" w:cs="Arial"/>
                <w:b/>
                <w:bCs/>
                <w:sz w:val="20"/>
                <w:szCs w:val="20"/>
              </w:rPr>
              <w:t xml:space="preserve">       1,478,102,908.34 </w:t>
            </w:r>
          </w:p>
        </w:tc>
      </w:tr>
      <w:tr w:rsidR="007D5719" w:rsidRPr="005732FC" w14:paraId="1B59C024" w14:textId="77777777" w:rsidTr="008C77A6">
        <w:trPr>
          <w:trHeight w:val="20"/>
        </w:trPr>
        <w:tc>
          <w:tcPr>
            <w:tcW w:w="4917" w:type="dxa"/>
            <w:gridSpan w:val="2"/>
            <w:tcBorders>
              <w:top w:val="nil"/>
              <w:left w:val="nil"/>
              <w:bottom w:val="nil"/>
              <w:right w:val="nil"/>
            </w:tcBorders>
            <w:noWrap/>
            <w:vAlign w:val="center"/>
            <w:hideMark/>
          </w:tcPr>
          <w:p w14:paraId="62E341FC" w14:textId="77777777" w:rsidR="007D5719" w:rsidRPr="005732FC" w:rsidRDefault="007D5719" w:rsidP="008C77A6">
            <w:pPr>
              <w:pStyle w:val="Sinespaciado"/>
              <w:rPr>
                <w:rFonts w:ascii="Arial" w:hAnsi="Arial" w:cs="Arial"/>
                <w:sz w:val="20"/>
                <w:szCs w:val="20"/>
                <w:lang w:eastAsia="es-MX"/>
              </w:rPr>
            </w:pPr>
            <w:r w:rsidRPr="005732FC">
              <w:rPr>
                <w:rFonts w:ascii="Arial" w:hAnsi="Arial" w:cs="Arial"/>
                <w:sz w:val="20"/>
                <w:szCs w:val="20"/>
                <w:lang w:eastAsia="es-MX"/>
              </w:rPr>
              <w:t>Impuestos sobre los Ingresos</w:t>
            </w:r>
          </w:p>
        </w:tc>
        <w:tc>
          <w:tcPr>
            <w:tcW w:w="196" w:type="dxa"/>
            <w:tcBorders>
              <w:top w:val="nil"/>
              <w:left w:val="nil"/>
              <w:bottom w:val="nil"/>
              <w:right w:val="nil"/>
            </w:tcBorders>
            <w:noWrap/>
            <w:vAlign w:val="center"/>
            <w:hideMark/>
          </w:tcPr>
          <w:p w14:paraId="43675F07" w14:textId="77777777" w:rsidR="007D5719" w:rsidRPr="005732FC" w:rsidRDefault="007D5719" w:rsidP="008C77A6">
            <w:pPr>
              <w:pStyle w:val="Sinespaciado"/>
              <w:rPr>
                <w:rFonts w:ascii="Arial" w:hAnsi="Arial" w:cs="Arial"/>
                <w:sz w:val="20"/>
                <w:szCs w:val="20"/>
                <w:lang w:eastAsia="es-MX"/>
              </w:rPr>
            </w:pPr>
          </w:p>
        </w:tc>
        <w:tc>
          <w:tcPr>
            <w:tcW w:w="2400" w:type="dxa"/>
            <w:tcBorders>
              <w:top w:val="nil"/>
              <w:left w:val="nil"/>
              <w:bottom w:val="nil"/>
              <w:right w:val="nil"/>
            </w:tcBorders>
            <w:noWrap/>
            <w:vAlign w:val="bottom"/>
            <w:hideMark/>
          </w:tcPr>
          <w:p w14:paraId="6FB55A65" w14:textId="77777777" w:rsidR="007D5719" w:rsidRPr="005732FC" w:rsidRDefault="007D5719" w:rsidP="008C77A6">
            <w:pPr>
              <w:pStyle w:val="Sinespaciado"/>
              <w:jc w:val="right"/>
              <w:rPr>
                <w:rFonts w:ascii="Arial" w:hAnsi="Arial" w:cs="Arial"/>
                <w:sz w:val="20"/>
                <w:szCs w:val="20"/>
                <w:lang w:eastAsia="es-MX"/>
              </w:rPr>
            </w:pPr>
            <w:r w:rsidRPr="005732FC">
              <w:rPr>
                <w:rFonts w:ascii="Arial" w:hAnsi="Arial" w:cs="Arial"/>
                <w:sz w:val="20"/>
                <w:szCs w:val="20"/>
                <w:lang w:eastAsia="es-MX"/>
              </w:rPr>
              <w:t>5,273,311.00</w:t>
            </w:r>
          </w:p>
        </w:tc>
      </w:tr>
      <w:tr w:rsidR="007D5719" w:rsidRPr="005732FC" w14:paraId="7B02D7D8" w14:textId="77777777" w:rsidTr="008C77A6">
        <w:trPr>
          <w:trHeight w:val="20"/>
        </w:trPr>
        <w:tc>
          <w:tcPr>
            <w:tcW w:w="4917" w:type="dxa"/>
            <w:gridSpan w:val="2"/>
            <w:tcBorders>
              <w:top w:val="nil"/>
              <w:left w:val="nil"/>
              <w:bottom w:val="nil"/>
              <w:right w:val="nil"/>
            </w:tcBorders>
            <w:noWrap/>
            <w:vAlign w:val="center"/>
            <w:hideMark/>
          </w:tcPr>
          <w:p w14:paraId="5D2CEAD6" w14:textId="77777777" w:rsidR="007D5719" w:rsidRPr="005732FC" w:rsidRDefault="007D5719" w:rsidP="008C77A6">
            <w:pPr>
              <w:pStyle w:val="Sinespaciado"/>
              <w:rPr>
                <w:rFonts w:ascii="Arial" w:hAnsi="Arial" w:cs="Arial"/>
                <w:sz w:val="20"/>
                <w:szCs w:val="20"/>
                <w:lang w:eastAsia="es-MX"/>
              </w:rPr>
            </w:pPr>
            <w:r w:rsidRPr="005732FC">
              <w:rPr>
                <w:rFonts w:ascii="Arial" w:hAnsi="Arial" w:cs="Arial"/>
                <w:sz w:val="20"/>
                <w:szCs w:val="20"/>
                <w:lang w:eastAsia="es-MX"/>
              </w:rPr>
              <w:t>Impuesto sobre el patrimonio</w:t>
            </w:r>
          </w:p>
        </w:tc>
        <w:tc>
          <w:tcPr>
            <w:tcW w:w="196" w:type="dxa"/>
            <w:tcBorders>
              <w:top w:val="nil"/>
              <w:left w:val="nil"/>
              <w:bottom w:val="nil"/>
              <w:right w:val="nil"/>
            </w:tcBorders>
            <w:noWrap/>
            <w:vAlign w:val="center"/>
            <w:hideMark/>
          </w:tcPr>
          <w:p w14:paraId="1F39F1B4" w14:textId="77777777" w:rsidR="007D5719" w:rsidRPr="005732FC" w:rsidRDefault="007D5719" w:rsidP="008C77A6">
            <w:pPr>
              <w:pStyle w:val="Sinespaciado"/>
              <w:rPr>
                <w:rFonts w:ascii="Arial" w:hAnsi="Arial" w:cs="Arial"/>
                <w:sz w:val="20"/>
                <w:szCs w:val="20"/>
                <w:lang w:eastAsia="es-MX"/>
              </w:rPr>
            </w:pPr>
          </w:p>
        </w:tc>
        <w:tc>
          <w:tcPr>
            <w:tcW w:w="2400" w:type="dxa"/>
            <w:tcBorders>
              <w:top w:val="nil"/>
              <w:left w:val="nil"/>
              <w:bottom w:val="nil"/>
              <w:right w:val="nil"/>
            </w:tcBorders>
            <w:noWrap/>
            <w:vAlign w:val="bottom"/>
            <w:hideMark/>
          </w:tcPr>
          <w:p w14:paraId="0CFA57B1" w14:textId="77777777" w:rsidR="007D5719" w:rsidRPr="005732FC" w:rsidRDefault="007D5719" w:rsidP="008C77A6">
            <w:pPr>
              <w:pStyle w:val="Sinespaciado"/>
              <w:jc w:val="right"/>
              <w:rPr>
                <w:rFonts w:ascii="Arial" w:hAnsi="Arial" w:cs="Arial"/>
                <w:sz w:val="20"/>
                <w:szCs w:val="20"/>
                <w:lang w:eastAsia="es-MX"/>
              </w:rPr>
            </w:pPr>
            <w:r w:rsidRPr="005732FC">
              <w:rPr>
                <w:rFonts w:ascii="Arial" w:hAnsi="Arial" w:cs="Arial"/>
                <w:sz w:val="20"/>
                <w:szCs w:val="20"/>
                <w:lang w:eastAsia="es-MX"/>
              </w:rPr>
              <w:t>832,151,826.00</w:t>
            </w:r>
          </w:p>
        </w:tc>
      </w:tr>
      <w:tr w:rsidR="007D5719" w:rsidRPr="005732FC" w14:paraId="53A8FE2E" w14:textId="77777777" w:rsidTr="008C77A6">
        <w:trPr>
          <w:trHeight w:val="380"/>
        </w:trPr>
        <w:tc>
          <w:tcPr>
            <w:tcW w:w="5113" w:type="dxa"/>
            <w:gridSpan w:val="3"/>
            <w:tcBorders>
              <w:top w:val="nil"/>
              <w:left w:val="nil"/>
              <w:bottom w:val="nil"/>
              <w:right w:val="nil"/>
            </w:tcBorders>
            <w:vAlign w:val="center"/>
            <w:hideMark/>
          </w:tcPr>
          <w:p w14:paraId="371F82AA" w14:textId="77777777" w:rsidR="007D5719" w:rsidRPr="005732FC" w:rsidRDefault="007D5719" w:rsidP="008C77A6">
            <w:pPr>
              <w:pStyle w:val="Sinespaciado"/>
              <w:rPr>
                <w:rFonts w:ascii="Arial" w:hAnsi="Arial" w:cs="Arial"/>
                <w:sz w:val="20"/>
                <w:szCs w:val="20"/>
                <w:lang w:eastAsia="es-MX"/>
              </w:rPr>
            </w:pPr>
            <w:r w:rsidRPr="005732FC">
              <w:rPr>
                <w:rFonts w:ascii="Arial" w:hAnsi="Arial" w:cs="Arial"/>
                <w:sz w:val="20"/>
                <w:szCs w:val="20"/>
                <w:lang w:eastAsia="es-MX"/>
              </w:rPr>
              <w:t>Impuestos sobre la producción, el consumo y las transacciones</w:t>
            </w:r>
          </w:p>
        </w:tc>
        <w:tc>
          <w:tcPr>
            <w:tcW w:w="2400" w:type="dxa"/>
            <w:tcBorders>
              <w:top w:val="nil"/>
              <w:left w:val="nil"/>
              <w:bottom w:val="nil"/>
              <w:right w:val="nil"/>
            </w:tcBorders>
            <w:noWrap/>
            <w:vAlign w:val="center"/>
            <w:hideMark/>
          </w:tcPr>
          <w:p w14:paraId="4EE47DB6" w14:textId="77777777" w:rsidR="007D5719" w:rsidRPr="005732FC" w:rsidRDefault="007D5719" w:rsidP="008C77A6">
            <w:pPr>
              <w:pStyle w:val="Sinespaciado"/>
              <w:jc w:val="right"/>
              <w:rPr>
                <w:rFonts w:ascii="Arial" w:hAnsi="Arial" w:cs="Arial"/>
                <w:sz w:val="20"/>
                <w:szCs w:val="20"/>
                <w:lang w:eastAsia="es-MX"/>
              </w:rPr>
            </w:pPr>
            <w:r w:rsidRPr="005732FC">
              <w:rPr>
                <w:rFonts w:ascii="Arial" w:hAnsi="Arial" w:cs="Arial"/>
                <w:sz w:val="20"/>
                <w:szCs w:val="20"/>
                <w:lang w:eastAsia="es-MX"/>
              </w:rPr>
              <w:t>439,283,727.00</w:t>
            </w:r>
          </w:p>
          <w:p w14:paraId="2EB793AC" w14:textId="77777777" w:rsidR="007D5719" w:rsidRPr="005732FC" w:rsidRDefault="007D5719" w:rsidP="008C77A6">
            <w:pPr>
              <w:pStyle w:val="Sinespaciado"/>
              <w:jc w:val="center"/>
              <w:rPr>
                <w:rFonts w:ascii="Arial" w:hAnsi="Arial" w:cs="Arial"/>
                <w:sz w:val="20"/>
                <w:szCs w:val="20"/>
                <w:lang w:eastAsia="es-MX"/>
              </w:rPr>
            </w:pPr>
          </w:p>
        </w:tc>
      </w:tr>
      <w:tr w:rsidR="007D5719" w:rsidRPr="005732FC" w14:paraId="227F0B72" w14:textId="77777777" w:rsidTr="008C77A6">
        <w:trPr>
          <w:trHeight w:val="206"/>
        </w:trPr>
        <w:tc>
          <w:tcPr>
            <w:tcW w:w="4917" w:type="dxa"/>
            <w:gridSpan w:val="2"/>
            <w:tcBorders>
              <w:top w:val="nil"/>
              <w:left w:val="nil"/>
              <w:bottom w:val="nil"/>
              <w:right w:val="nil"/>
            </w:tcBorders>
            <w:noWrap/>
            <w:vAlign w:val="center"/>
            <w:hideMark/>
          </w:tcPr>
          <w:p w14:paraId="152C1C9B" w14:textId="77777777" w:rsidR="007D5719" w:rsidRPr="005732FC" w:rsidRDefault="007D5719" w:rsidP="008C77A6">
            <w:pPr>
              <w:pStyle w:val="Sinespaciado"/>
              <w:rPr>
                <w:rFonts w:ascii="Arial" w:hAnsi="Arial" w:cs="Arial"/>
                <w:sz w:val="20"/>
                <w:szCs w:val="20"/>
                <w:lang w:eastAsia="es-MX"/>
              </w:rPr>
            </w:pPr>
            <w:r w:rsidRPr="005732FC">
              <w:rPr>
                <w:rFonts w:ascii="Arial" w:hAnsi="Arial" w:cs="Arial"/>
                <w:sz w:val="20"/>
                <w:szCs w:val="20"/>
                <w:lang w:eastAsia="es-MX"/>
              </w:rPr>
              <w:t>Accesorios de impuestos</w:t>
            </w:r>
          </w:p>
        </w:tc>
        <w:tc>
          <w:tcPr>
            <w:tcW w:w="196" w:type="dxa"/>
            <w:tcBorders>
              <w:top w:val="nil"/>
              <w:left w:val="nil"/>
              <w:bottom w:val="nil"/>
              <w:right w:val="nil"/>
            </w:tcBorders>
            <w:noWrap/>
            <w:vAlign w:val="center"/>
            <w:hideMark/>
          </w:tcPr>
          <w:p w14:paraId="58521D61" w14:textId="77777777" w:rsidR="007D5719" w:rsidRPr="005732FC" w:rsidRDefault="007D5719" w:rsidP="008C77A6">
            <w:pPr>
              <w:pStyle w:val="Sinespaciado"/>
              <w:rPr>
                <w:rFonts w:ascii="Arial" w:hAnsi="Arial" w:cs="Arial"/>
                <w:sz w:val="20"/>
                <w:szCs w:val="20"/>
                <w:lang w:eastAsia="es-MX"/>
              </w:rPr>
            </w:pPr>
          </w:p>
        </w:tc>
        <w:tc>
          <w:tcPr>
            <w:tcW w:w="2400" w:type="dxa"/>
            <w:tcBorders>
              <w:top w:val="nil"/>
              <w:left w:val="nil"/>
              <w:bottom w:val="nil"/>
              <w:right w:val="nil"/>
            </w:tcBorders>
            <w:noWrap/>
            <w:vAlign w:val="bottom"/>
            <w:hideMark/>
          </w:tcPr>
          <w:p w14:paraId="613DFF7B" w14:textId="77777777" w:rsidR="007D5719" w:rsidRPr="005732FC" w:rsidRDefault="007D5719" w:rsidP="008C77A6">
            <w:pPr>
              <w:pStyle w:val="Sinespaciado"/>
              <w:jc w:val="right"/>
              <w:rPr>
                <w:rFonts w:ascii="Arial" w:hAnsi="Arial" w:cs="Arial"/>
                <w:sz w:val="20"/>
                <w:szCs w:val="20"/>
                <w:lang w:eastAsia="es-MX"/>
              </w:rPr>
            </w:pPr>
            <w:r w:rsidRPr="005732FC">
              <w:rPr>
                <w:rFonts w:ascii="Arial" w:hAnsi="Arial" w:cs="Arial"/>
                <w:sz w:val="20"/>
                <w:szCs w:val="20"/>
                <w:lang w:eastAsia="es-MX"/>
              </w:rPr>
              <w:t>38,040,940.06</w:t>
            </w:r>
          </w:p>
        </w:tc>
      </w:tr>
      <w:tr w:rsidR="007D5719" w:rsidRPr="005732FC" w14:paraId="055B07F8" w14:textId="77777777" w:rsidTr="008C77A6">
        <w:trPr>
          <w:trHeight w:val="80"/>
        </w:trPr>
        <w:tc>
          <w:tcPr>
            <w:tcW w:w="4771" w:type="dxa"/>
            <w:tcBorders>
              <w:top w:val="nil"/>
              <w:left w:val="nil"/>
              <w:bottom w:val="nil"/>
              <w:right w:val="nil"/>
            </w:tcBorders>
            <w:noWrap/>
            <w:vAlign w:val="center"/>
            <w:hideMark/>
          </w:tcPr>
          <w:p w14:paraId="7EE6CE41" w14:textId="77777777" w:rsidR="007D5719" w:rsidRPr="005732FC" w:rsidRDefault="007D5719" w:rsidP="008C77A6">
            <w:pPr>
              <w:pStyle w:val="Sinespaciado"/>
              <w:rPr>
                <w:rFonts w:ascii="Arial" w:hAnsi="Arial" w:cs="Arial"/>
                <w:sz w:val="20"/>
                <w:szCs w:val="20"/>
                <w:lang w:eastAsia="es-MX"/>
              </w:rPr>
            </w:pPr>
            <w:r w:rsidRPr="005732FC">
              <w:rPr>
                <w:rFonts w:ascii="Arial" w:hAnsi="Arial" w:cs="Arial"/>
                <w:sz w:val="20"/>
                <w:szCs w:val="20"/>
                <w:lang w:eastAsia="es-MX"/>
              </w:rPr>
              <w:lastRenderedPageBreak/>
              <w:t>Otros Impuestos</w:t>
            </w:r>
          </w:p>
        </w:tc>
        <w:tc>
          <w:tcPr>
            <w:tcW w:w="146" w:type="dxa"/>
            <w:tcBorders>
              <w:top w:val="nil"/>
              <w:left w:val="nil"/>
              <w:bottom w:val="nil"/>
              <w:right w:val="nil"/>
            </w:tcBorders>
            <w:noWrap/>
            <w:vAlign w:val="center"/>
            <w:hideMark/>
          </w:tcPr>
          <w:p w14:paraId="77839C81" w14:textId="77777777" w:rsidR="007D5719" w:rsidRPr="005732FC" w:rsidRDefault="007D5719" w:rsidP="008C77A6">
            <w:pPr>
              <w:pStyle w:val="Sinespaciado"/>
              <w:rPr>
                <w:rFonts w:ascii="Arial" w:hAnsi="Arial" w:cs="Arial"/>
                <w:sz w:val="20"/>
                <w:szCs w:val="20"/>
                <w:lang w:eastAsia="es-MX"/>
              </w:rPr>
            </w:pPr>
          </w:p>
        </w:tc>
        <w:tc>
          <w:tcPr>
            <w:tcW w:w="196" w:type="dxa"/>
            <w:tcBorders>
              <w:top w:val="nil"/>
              <w:left w:val="nil"/>
              <w:bottom w:val="nil"/>
              <w:right w:val="nil"/>
            </w:tcBorders>
            <w:noWrap/>
            <w:vAlign w:val="center"/>
            <w:hideMark/>
          </w:tcPr>
          <w:p w14:paraId="0F17FBAD" w14:textId="77777777" w:rsidR="007D5719" w:rsidRPr="005732FC" w:rsidRDefault="007D5719" w:rsidP="008C77A6">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261EC43C" w14:textId="77777777" w:rsidR="007D5719" w:rsidRPr="005732FC" w:rsidRDefault="007D5719" w:rsidP="008C77A6">
            <w:pPr>
              <w:pStyle w:val="Sinespaciado"/>
              <w:jc w:val="right"/>
              <w:rPr>
                <w:rFonts w:ascii="Arial" w:hAnsi="Arial" w:cs="Arial"/>
                <w:sz w:val="20"/>
                <w:szCs w:val="20"/>
              </w:rPr>
            </w:pPr>
            <w:r w:rsidRPr="005732FC">
              <w:rPr>
                <w:rFonts w:ascii="Arial" w:hAnsi="Arial" w:cs="Arial"/>
                <w:sz w:val="20"/>
                <w:szCs w:val="20"/>
              </w:rPr>
              <w:t>163,353,104.28</w:t>
            </w:r>
          </w:p>
        </w:tc>
      </w:tr>
      <w:tr w:rsidR="007D5719" w:rsidRPr="005732FC" w14:paraId="1F68A07E" w14:textId="77777777" w:rsidTr="008C77A6">
        <w:trPr>
          <w:trHeight w:val="20"/>
        </w:trPr>
        <w:tc>
          <w:tcPr>
            <w:tcW w:w="4771" w:type="dxa"/>
            <w:tcBorders>
              <w:top w:val="nil"/>
              <w:left w:val="nil"/>
              <w:bottom w:val="nil"/>
              <w:right w:val="nil"/>
            </w:tcBorders>
            <w:noWrap/>
            <w:hideMark/>
          </w:tcPr>
          <w:p w14:paraId="104D643A" w14:textId="77777777" w:rsidR="007D5719" w:rsidRPr="00530AB2" w:rsidRDefault="007D5719" w:rsidP="008C77A6">
            <w:pPr>
              <w:pStyle w:val="Sinespaciado"/>
              <w:rPr>
                <w:rFonts w:ascii="Arial" w:hAnsi="Arial" w:cs="Arial"/>
                <w:b/>
                <w:bCs/>
                <w:sz w:val="20"/>
                <w:szCs w:val="20"/>
                <w:lang w:eastAsia="es-MX"/>
              </w:rPr>
            </w:pPr>
            <w:r w:rsidRPr="00530AB2">
              <w:rPr>
                <w:rFonts w:ascii="Arial" w:hAnsi="Arial" w:cs="Arial"/>
                <w:b/>
                <w:bCs/>
                <w:sz w:val="20"/>
                <w:szCs w:val="20"/>
                <w:lang w:eastAsia="es-MX"/>
              </w:rPr>
              <w:t xml:space="preserve">Derechos </w:t>
            </w:r>
          </w:p>
        </w:tc>
        <w:tc>
          <w:tcPr>
            <w:tcW w:w="146" w:type="dxa"/>
            <w:tcBorders>
              <w:top w:val="nil"/>
              <w:left w:val="nil"/>
              <w:bottom w:val="nil"/>
              <w:right w:val="nil"/>
            </w:tcBorders>
            <w:noWrap/>
            <w:vAlign w:val="center"/>
            <w:hideMark/>
          </w:tcPr>
          <w:p w14:paraId="040AC237" w14:textId="77777777" w:rsidR="007D5719" w:rsidRPr="00530AB2" w:rsidRDefault="007D5719" w:rsidP="008C77A6">
            <w:pPr>
              <w:pStyle w:val="Sinespaciado"/>
              <w:rPr>
                <w:rFonts w:ascii="Arial" w:hAnsi="Arial" w:cs="Arial"/>
                <w:b/>
                <w:bCs/>
                <w:sz w:val="20"/>
                <w:szCs w:val="20"/>
                <w:lang w:eastAsia="es-MX"/>
              </w:rPr>
            </w:pPr>
          </w:p>
        </w:tc>
        <w:tc>
          <w:tcPr>
            <w:tcW w:w="196" w:type="dxa"/>
            <w:tcBorders>
              <w:top w:val="nil"/>
              <w:left w:val="nil"/>
              <w:bottom w:val="nil"/>
              <w:right w:val="nil"/>
            </w:tcBorders>
            <w:noWrap/>
            <w:vAlign w:val="center"/>
            <w:hideMark/>
          </w:tcPr>
          <w:p w14:paraId="2BC973DA" w14:textId="77777777" w:rsidR="007D5719" w:rsidRPr="00530AB2" w:rsidRDefault="007D5719" w:rsidP="008C77A6">
            <w:pPr>
              <w:pStyle w:val="Sinespaciado"/>
              <w:rPr>
                <w:rFonts w:ascii="Arial" w:hAnsi="Arial" w:cs="Arial"/>
                <w:b/>
                <w:bCs/>
                <w:sz w:val="20"/>
                <w:szCs w:val="20"/>
                <w:lang w:eastAsia="es-MX"/>
              </w:rPr>
            </w:pPr>
          </w:p>
        </w:tc>
        <w:tc>
          <w:tcPr>
            <w:tcW w:w="2400" w:type="dxa"/>
            <w:tcBorders>
              <w:top w:val="nil"/>
              <w:left w:val="nil"/>
              <w:bottom w:val="nil"/>
              <w:right w:val="nil"/>
            </w:tcBorders>
            <w:noWrap/>
            <w:vAlign w:val="center"/>
            <w:hideMark/>
          </w:tcPr>
          <w:p w14:paraId="6A6E2AB0" w14:textId="77777777" w:rsidR="007D5719" w:rsidRPr="00530AB2" w:rsidRDefault="007D5719" w:rsidP="008C77A6">
            <w:pPr>
              <w:pStyle w:val="Sinespaciado"/>
              <w:jc w:val="right"/>
              <w:rPr>
                <w:rFonts w:ascii="Arial" w:hAnsi="Arial" w:cs="Arial"/>
                <w:b/>
                <w:bCs/>
                <w:sz w:val="20"/>
                <w:szCs w:val="20"/>
              </w:rPr>
            </w:pPr>
            <w:r w:rsidRPr="00530AB2">
              <w:rPr>
                <w:rFonts w:ascii="Arial" w:hAnsi="Arial" w:cs="Arial"/>
                <w:b/>
                <w:bCs/>
                <w:sz w:val="20"/>
                <w:szCs w:val="20"/>
              </w:rPr>
              <w:t xml:space="preserve">            1,286,938,571.74</w:t>
            </w:r>
          </w:p>
        </w:tc>
      </w:tr>
      <w:tr w:rsidR="007D5719" w:rsidRPr="005732FC" w14:paraId="3D01A1D8" w14:textId="77777777" w:rsidTr="008C77A6">
        <w:trPr>
          <w:trHeight w:val="20"/>
        </w:trPr>
        <w:tc>
          <w:tcPr>
            <w:tcW w:w="5113" w:type="dxa"/>
            <w:gridSpan w:val="3"/>
            <w:tcBorders>
              <w:top w:val="nil"/>
              <w:left w:val="nil"/>
              <w:bottom w:val="nil"/>
              <w:right w:val="nil"/>
            </w:tcBorders>
            <w:vAlign w:val="center"/>
            <w:hideMark/>
          </w:tcPr>
          <w:p w14:paraId="0BE1D399" w14:textId="77777777" w:rsidR="007D5719" w:rsidRPr="005732FC" w:rsidRDefault="007D5719" w:rsidP="008C77A6">
            <w:pPr>
              <w:pStyle w:val="Sinespaciado"/>
              <w:rPr>
                <w:rFonts w:ascii="Arial" w:hAnsi="Arial" w:cs="Arial"/>
                <w:sz w:val="20"/>
                <w:szCs w:val="20"/>
                <w:lang w:eastAsia="es-MX"/>
              </w:rPr>
            </w:pPr>
            <w:r w:rsidRPr="005732FC">
              <w:rPr>
                <w:rFonts w:ascii="Arial" w:hAnsi="Arial" w:cs="Arial"/>
                <w:sz w:val="20"/>
                <w:szCs w:val="20"/>
                <w:lang w:eastAsia="es-MX"/>
              </w:rPr>
              <w:t>Derechos por el uso, goce, aprovechamiento o explotación de bienes de dominio público.</w:t>
            </w:r>
          </w:p>
        </w:tc>
        <w:tc>
          <w:tcPr>
            <w:tcW w:w="2400" w:type="dxa"/>
            <w:tcBorders>
              <w:top w:val="nil"/>
              <w:left w:val="nil"/>
              <w:bottom w:val="nil"/>
              <w:right w:val="nil"/>
            </w:tcBorders>
            <w:noWrap/>
            <w:vAlign w:val="center"/>
            <w:hideMark/>
          </w:tcPr>
          <w:p w14:paraId="717F558B" w14:textId="77777777" w:rsidR="007D5719" w:rsidRPr="005732FC" w:rsidRDefault="007D5719" w:rsidP="008C77A6">
            <w:pPr>
              <w:pStyle w:val="Sinespaciado"/>
              <w:jc w:val="right"/>
              <w:rPr>
                <w:rFonts w:ascii="Arial" w:hAnsi="Arial" w:cs="Arial"/>
                <w:sz w:val="20"/>
                <w:szCs w:val="20"/>
                <w:lang w:eastAsia="es-MX"/>
              </w:rPr>
            </w:pPr>
            <w:r w:rsidRPr="005732FC">
              <w:rPr>
                <w:rFonts w:ascii="Arial" w:hAnsi="Arial" w:cs="Arial"/>
                <w:sz w:val="20"/>
                <w:szCs w:val="20"/>
                <w:lang w:eastAsia="es-MX"/>
              </w:rPr>
              <w:t>21,346,665.00</w:t>
            </w:r>
          </w:p>
        </w:tc>
      </w:tr>
      <w:tr w:rsidR="007D5719" w:rsidRPr="005732FC" w14:paraId="20CE7176" w14:textId="77777777" w:rsidTr="008C77A6">
        <w:trPr>
          <w:trHeight w:val="82"/>
        </w:trPr>
        <w:tc>
          <w:tcPr>
            <w:tcW w:w="4917" w:type="dxa"/>
            <w:gridSpan w:val="2"/>
            <w:tcBorders>
              <w:top w:val="nil"/>
              <w:left w:val="nil"/>
              <w:bottom w:val="nil"/>
              <w:right w:val="nil"/>
            </w:tcBorders>
            <w:noWrap/>
            <w:vAlign w:val="center"/>
            <w:hideMark/>
          </w:tcPr>
          <w:p w14:paraId="02AAA820" w14:textId="77777777" w:rsidR="007D5719" w:rsidRPr="005732FC" w:rsidRDefault="007D5719" w:rsidP="008C77A6">
            <w:pPr>
              <w:pStyle w:val="Sinespaciado"/>
              <w:rPr>
                <w:rFonts w:ascii="Arial" w:hAnsi="Arial" w:cs="Arial"/>
                <w:sz w:val="20"/>
                <w:szCs w:val="20"/>
                <w:lang w:eastAsia="es-MX"/>
              </w:rPr>
            </w:pPr>
            <w:r w:rsidRPr="005732FC">
              <w:rPr>
                <w:rFonts w:ascii="Arial" w:hAnsi="Arial" w:cs="Arial"/>
                <w:sz w:val="20"/>
                <w:szCs w:val="20"/>
                <w:lang w:eastAsia="es-MX"/>
              </w:rPr>
              <w:t>Derechos por Prestación de Servicios</w:t>
            </w:r>
          </w:p>
        </w:tc>
        <w:tc>
          <w:tcPr>
            <w:tcW w:w="196" w:type="dxa"/>
            <w:tcBorders>
              <w:top w:val="nil"/>
              <w:left w:val="nil"/>
              <w:bottom w:val="nil"/>
              <w:right w:val="nil"/>
            </w:tcBorders>
            <w:noWrap/>
            <w:vAlign w:val="center"/>
            <w:hideMark/>
          </w:tcPr>
          <w:p w14:paraId="68008021" w14:textId="77777777" w:rsidR="007D5719" w:rsidRPr="005732FC" w:rsidRDefault="007D5719" w:rsidP="008C77A6">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76406E25" w14:textId="77777777" w:rsidR="007D5719" w:rsidRPr="005732FC" w:rsidRDefault="007D5719" w:rsidP="008C77A6">
            <w:pPr>
              <w:pStyle w:val="Sinespaciado"/>
              <w:jc w:val="right"/>
              <w:rPr>
                <w:rFonts w:ascii="Arial" w:hAnsi="Arial" w:cs="Arial"/>
                <w:sz w:val="20"/>
                <w:szCs w:val="20"/>
                <w:lang w:eastAsia="es-MX"/>
              </w:rPr>
            </w:pPr>
            <w:r w:rsidRPr="005732FC">
              <w:rPr>
                <w:rFonts w:ascii="Arial" w:hAnsi="Arial" w:cs="Arial"/>
                <w:sz w:val="20"/>
                <w:szCs w:val="20"/>
                <w:lang w:eastAsia="es-MX"/>
              </w:rPr>
              <w:t>1,225,004,083.29</w:t>
            </w:r>
          </w:p>
        </w:tc>
      </w:tr>
      <w:tr w:rsidR="007D5719" w:rsidRPr="005732FC" w14:paraId="69CC21FA" w14:textId="77777777" w:rsidTr="008C77A6">
        <w:trPr>
          <w:trHeight w:val="20"/>
        </w:trPr>
        <w:tc>
          <w:tcPr>
            <w:tcW w:w="4917" w:type="dxa"/>
            <w:gridSpan w:val="2"/>
            <w:tcBorders>
              <w:top w:val="nil"/>
              <w:left w:val="nil"/>
              <w:bottom w:val="nil"/>
              <w:right w:val="nil"/>
            </w:tcBorders>
            <w:noWrap/>
            <w:vAlign w:val="center"/>
            <w:hideMark/>
          </w:tcPr>
          <w:p w14:paraId="2AE384A0" w14:textId="77777777" w:rsidR="007D5719" w:rsidRPr="005732FC" w:rsidRDefault="007D5719" w:rsidP="008C77A6">
            <w:pPr>
              <w:pStyle w:val="Sinespaciado"/>
              <w:rPr>
                <w:rFonts w:ascii="Arial" w:hAnsi="Arial" w:cs="Arial"/>
                <w:sz w:val="20"/>
                <w:szCs w:val="20"/>
                <w:lang w:eastAsia="es-MX"/>
              </w:rPr>
            </w:pPr>
            <w:r w:rsidRPr="005732FC">
              <w:rPr>
                <w:rFonts w:ascii="Arial" w:hAnsi="Arial" w:cs="Arial"/>
                <w:sz w:val="20"/>
                <w:szCs w:val="20"/>
                <w:lang w:eastAsia="es-MX"/>
              </w:rPr>
              <w:t>Accesorios de Derechos</w:t>
            </w:r>
          </w:p>
        </w:tc>
        <w:tc>
          <w:tcPr>
            <w:tcW w:w="196" w:type="dxa"/>
            <w:tcBorders>
              <w:top w:val="nil"/>
              <w:left w:val="nil"/>
              <w:bottom w:val="nil"/>
              <w:right w:val="nil"/>
            </w:tcBorders>
            <w:noWrap/>
            <w:vAlign w:val="center"/>
            <w:hideMark/>
          </w:tcPr>
          <w:p w14:paraId="7563AFE9" w14:textId="77777777" w:rsidR="007D5719" w:rsidRPr="005732FC" w:rsidRDefault="007D5719" w:rsidP="008C77A6">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0C6069EB" w14:textId="77777777" w:rsidR="007D5719" w:rsidRPr="005732FC" w:rsidRDefault="007D5719" w:rsidP="008C77A6">
            <w:pPr>
              <w:pStyle w:val="Sinespaciado"/>
              <w:jc w:val="right"/>
              <w:rPr>
                <w:rFonts w:ascii="Arial" w:hAnsi="Arial" w:cs="Arial"/>
                <w:sz w:val="20"/>
                <w:szCs w:val="20"/>
              </w:rPr>
            </w:pPr>
            <w:r w:rsidRPr="005732FC">
              <w:rPr>
                <w:rFonts w:ascii="Arial" w:hAnsi="Arial" w:cs="Arial"/>
                <w:sz w:val="20"/>
                <w:szCs w:val="20"/>
              </w:rPr>
              <w:t>3,617,897.00</w:t>
            </w:r>
          </w:p>
        </w:tc>
      </w:tr>
      <w:tr w:rsidR="007D5719" w:rsidRPr="005732FC" w14:paraId="7A133C41" w14:textId="77777777" w:rsidTr="008C77A6">
        <w:trPr>
          <w:trHeight w:val="80"/>
        </w:trPr>
        <w:tc>
          <w:tcPr>
            <w:tcW w:w="4771" w:type="dxa"/>
            <w:tcBorders>
              <w:top w:val="nil"/>
              <w:left w:val="nil"/>
              <w:bottom w:val="nil"/>
              <w:right w:val="nil"/>
            </w:tcBorders>
            <w:noWrap/>
            <w:vAlign w:val="center"/>
            <w:hideMark/>
          </w:tcPr>
          <w:p w14:paraId="57406A35" w14:textId="77777777" w:rsidR="007D5719" w:rsidRPr="005732FC" w:rsidRDefault="007D5719" w:rsidP="008C77A6">
            <w:pPr>
              <w:pStyle w:val="Sinespaciado"/>
              <w:rPr>
                <w:rFonts w:ascii="Arial" w:hAnsi="Arial" w:cs="Arial"/>
                <w:sz w:val="20"/>
                <w:szCs w:val="20"/>
                <w:lang w:eastAsia="es-MX"/>
              </w:rPr>
            </w:pPr>
            <w:r w:rsidRPr="005732FC">
              <w:rPr>
                <w:rFonts w:ascii="Arial" w:hAnsi="Arial" w:cs="Arial"/>
                <w:sz w:val="20"/>
                <w:szCs w:val="20"/>
                <w:lang w:eastAsia="es-MX"/>
              </w:rPr>
              <w:t>Otros Derechos</w:t>
            </w:r>
          </w:p>
        </w:tc>
        <w:tc>
          <w:tcPr>
            <w:tcW w:w="146" w:type="dxa"/>
            <w:tcBorders>
              <w:top w:val="nil"/>
              <w:left w:val="nil"/>
              <w:bottom w:val="nil"/>
              <w:right w:val="nil"/>
            </w:tcBorders>
            <w:noWrap/>
            <w:vAlign w:val="center"/>
            <w:hideMark/>
          </w:tcPr>
          <w:p w14:paraId="5D374CCB" w14:textId="77777777" w:rsidR="007D5719" w:rsidRPr="005732FC" w:rsidRDefault="007D5719" w:rsidP="008C77A6">
            <w:pPr>
              <w:pStyle w:val="Sinespaciado"/>
              <w:rPr>
                <w:rFonts w:ascii="Arial" w:hAnsi="Arial" w:cs="Arial"/>
                <w:sz w:val="20"/>
                <w:szCs w:val="20"/>
                <w:lang w:eastAsia="es-MX"/>
              </w:rPr>
            </w:pPr>
          </w:p>
        </w:tc>
        <w:tc>
          <w:tcPr>
            <w:tcW w:w="196" w:type="dxa"/>
            <w:tcBorders>
              <w:top w:val="nil"/>
              <w:left w:val="nil"/>
              <w:bottom w:val="nil"/>
              <w:right w:val="nil"/>
            </w:tcBorders>
            <w:noWrap/>
            <w:vAlign w:val="bottom"/>
            <w:hideMark/>
          </w:tcPr>
          <w:p w14:paraId="2D89E3E9" w14:textId="77777777" w:rsidR="007D5719" w:rsidRPr="005732FC" w:rsidRDefault="007D5719" w:rsidP="008C77A6">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1DF92528" w14:textId="77777777" w:rsidR="007D5719" w:rsidRPr="005732FC" w:rsidRDefault="007D5719" w:rsidP="008C77A6">
            <w:pPr>
              <w:pStyle w:val="Sinespaciado"/>
              <w:jc w:val="right"/>
              <w:rPr>
                <w:rFonts w:ascii="Arial" w:hAnsi="Arial" w:cs="Arial"/>
                <w:sz w:val="20"/>
                <w:szCs w:val="20"/>
              </w:rPr>
            </w:pPr>
            <w:r w:rsidRPr="005732FC">
              <w:rPr>
                <w:rFonts w:ascii="Arial" w:hAnsi="Arial" w:cs="Arial"/>
                <w:sz w:val="20"/>
                <w:szCs w:val="20"/>
              </w:rPr>
              <w:t>36,969,926.45</w:t>
            </w:r>
          </w:p>
        </w:tc>
      </w:tr>
      <w:tr w:rsidR="007D5719" w:rsidRPr="005732FC" w14:paraId="0E0F399C" w14:textId="77777777" w:rsidTr="008C77A6">
        <w:trPr>
          <w:trHeight w:val="107"/>
        </w:trPr>
        <w:tc>
          <w:tcPr>
            <w:tcW w:w="4771" w:type="dxa"/>
            <w:tcBorders>
              <w:top w:val="nil"/>
              <w:left w:val="nil"/>
              <w:bottom w:val="nil"/>
              <w:right w:val="nil"/>
            </w:tcBorders>
            <w:noWrap/>
            <w:vAlign w:val="center"/>
            <w:hideMark/>
          </w:tcPr>
          <w:p w14:paraId="4EFB89D1" w14:textId="77777777" w:rsidR="007D5719" w:rsidRPr="00530AB2" w:rsidRDefault="007D5719" w:rsidP="008C77A6">
            <w:pPr>
              <w:pStyle w:val="Sinespaciado"/>
              <w:rPr>
                <w:rFonts w:ascii="Arial" w:hAnsi="Arial" w:cs="Arial"/>
                <w:b/>
                <w:bCs/>
                <w:sz w:val="20"/>
                <w:szCs w:val="20"/>
                <w:lang w:eastAsia="es-MX"/>
              </w:rPr>
            </w:pPr>
            <w:r w:rsidRPr="00530AB2">
              <w:rPr>
                <w:rFonts w:ascii="Arial" w:hAnsi="Arial" w:cs="Arial"/>
                <w:b/>
                <w:bCs/>
                <w:sz w:val="20"/>
                <w:szCs w:val="20"/>
                <w:lang w:eastAsia="es-MX"/>
              </w:rPr>
              <w:t>Productos</w:t>
            </w:r>
          </w:p>
        </w:tc>
        <w:tc>
          <w:tcPr>
            <w:tcW w:w="146" w:type="dxa"/>
            <w:tcBorders>
              <w:top w:val="nil"/>
              <w:left w:val="nil"/>
              <w:bottom w:val="nil"/>
              <w:right w:val="nil"/>
            </w:tcBorders>
            <w:noWrap/>
            <w:vAlign w:val="center"/>
            <w:hideMark/>
          </w:tcPr>
          <w:p w14:paraId="22E2E8AD" w14:textId="77777777" w:rsidR="007D5719" w:rsidRPr="00530AB2" w:rsidRDefault="007D5719" w:rsidP="008C77A6">
            <w:pPr>
              <w:pStyle w:val="Sinespaciado"/>
              <w:rPr>
                <w:rFonts w:ascii="Arial" w:hAnsi="Arial" w:cs="Arial"/>
                <w:b/>
                <w:bCs/>
                <w:sz w:val="20"/>
                <w:szCs w:val="20"/>
                <w:lang w:eastAsia="es-MX"/>
              </w:rPr>
            </w:pPr>
          </w:p>
        </w:tc>
        <w:tc>
          <w:tcPr>
            <w:tcW w:w="196" w:type="dxa"/>
            <w:tcBorders>
              <w:top w:val="nil"/>
              <w:left w:val="nil"/>
              <w:bottom w:val="nil"/>
              <w:right w:val="nil"/>
            </w:tcBorders>
            <w:noWrap/>
            <w:vAlign w:val="center"/>
            <w:hideMark/>
          </w:tcPr>
          <w:p w14:paraId="7604EED7" w14:textId="77777777" w:rsidR="007D5719" w:rsidRPr="00530AB2" w:rsidRDefault="007D5719" w:rsidP="008C77A6">
            <w:pPr>
              <w:pStyle w:val="Sinespaciado"/>
              <w:rPr>
                <w:rFonts w:ascii="Arial" w:hAnsi="Arial" w:cs="Arial"/>
                <w:b/>
                <w:bCs/>
                <w:sz w:val="20"/>
                <w:szCs w:val="20"/>
                <w:lang w:eastAsia="es-MX"/>
              </w:rPr>
            </w:pPr>
          </w:p>
        </w:tc>
        <w:tc>
          <w:tcPr>
            <w:tcW w:w="2400" w:type="dxa"/>
            <w:tcBorders>
              <w:top w:val="nil"/>
              <w:left w:val="nil"/>
              <w:bottom w:val="nil"/>
              <w:right w:val="nil"/>
            </w:tcBorders>
            <w:noWrap/>
            <w:vAlign w:val="center"/>
            <w:hideMark/>
          </w:tcPr>
          <w:p w14:paraId="364B9E93" w14:textId="77777777" w:rsidR="007D5719" w:rsidRPr="00530AB2" w:rsidRDefault="007D5719" w:rsidP="008C77A6">
            <w:pPr>
              <w:pStyle w:val="Sinespaciado"/>
              <w:jc w:val="right"/>
              <w:rPr>
                <w:rFonts w:ascii="Arial" w:hAnsi="Arial" w:cs="Arial"/>
                <w:b/>
                <w:bCs/>
                <w:sz w:val="20"/>
                <w:szCs w:val="20"/>
                <w:lang w:eastAsia="es-MX"/>
              </w:rPr>
            </w:pPr>
            <w:r w:rsidRPr="00530AB2">
              <w:rPr>
                <w:rFonts w:ascii="Arial" w:hAnsi="Arial" w:cs="Arial"/>
                <w:b/>
                <w:bCs/>
                <w:sz w:val="20"/>
                <w:szCs w:val="20"/>
                <w:lang w:eastAsia="es-MX"/>
              </w:rPr>
              <w:t xml:space="preserve">                 70,106,033.61 </w:t>
            </w:r>
          </w:p>
        </w:tc>
      </w:tr>
      <w:tr w:rsidR="007D5719" w:rsidRPr="005732FC" w14:paraId="60E12D07" w14:textId="77777777" w:rsidTr="008C77A6">
        <w:trPr>
          <w:trHeight w:val="294"/>
        </w:trPr>
        <w:tc>
          <w:tcPr>
            <w:tcW w:w="4917" w:type="dxa"/>
            <w:gridSpan w:val="2"/>
            <w:tcBorders>
              <w:top w:val="nil"/>
              <w:left w:val="nil"/>
              <w:bottom w:val="single" w:sz="8" w:space="0" w:color="auto"/>
              <w:right w:val="nil"/>
            </w:tcBorders>
            <w:noWrap/>
            <w:vAlign w:val="center"/>
            <w:hideMark/>
          </w:tcPr>
          <w:p w14:paraId="7921BEBB" w14:textId="77777777" w:rsidR="007D5719" w:rsidRPr="00530AB2" w:rsidRDefault="007D5719" w:rsidP="008C77A6">
            <w:pPr>
              <w:pStyle w:val="Sinespaciado"/>
              <w:rPr>
                <w:rFonts w:ascii="Arial" w:hAnsi="Arial" w:cs="Arial"/>
                <w:b/>
                <w:bCs/>
                <w:sz w:val="20"/>
                <w:szCs w:val="20"/>
                <w:lang w:eastAsia="es-MX"/>
              </w:rPr>
            </w:pPr>
            <w:r w:rsidRPr="00530AB2">
              <w:rPr>
                <w:rFonts w:ascii="Arial" w:hAnsi="Arial" w:cs="Arial"/>
                <w:b/>
                <w:bCs/>
                <w:sz w:val="20"/>
                <w:szCs w:val="20"/>
                <w:lang w:eastAsia="es-MX"/>
              </w:rPr>
              <w:t>Aprovechamientos</w:t>
            </w:r>
          </w:p>
        </w:tc>
        <w:tc>
          <w:tcPr>
            <w:tcW w:w="196" w:type="dxa"/>
            <w:tcBorders>
              <w:top w:val="nil"/>
              <w:left w:val="nil"/>
              <w:bottom w:val="single" w:sz="8" w:space="0" w:color="auto"/>
              <w:right w:val="nil"/>
            </w:tcBorders>
            <w:noWrap/>
            <w:vAlign w:val="center"/>
            <w:hideMark/>
          </w:tcPr>
          <w:p w14:paraId="1E9EFA75" w14:textId="77777777" w:rsidR="007D5719" w:rsidRPr="00530AB2" w:rsidRDefault="007D5719" w:rsidP="008C77A6">
            <w:pPr>
              <w:pStyle w:val="Sinespaciado"/>
              <w:rPr>
                <w:rFonts w:ascii="Arial" w:hAnsi="Arial" w:cs="Arial"/>
                <w:b/>
                <w:bCs/>
                <w:sz w:val="20"/>
                <w:szCs w:val="20"/>
                <w:lang w:eastAsia="es-MX"/>
              </w:rPr>
            </w:pPr>
          </w:p>
        </w:tc>
        <w:tc>
          <w:tcPr>
            <w:tcW w:w="2400" w:type="dxa"/>
            <w:tcBorders>
              <w:top w:val="nil"/>
              <w:left w:val="nil"/>
              <w:bottom w:val="single" w:sz="8" w:space="0" w:color="auto"/>
              <w:right w:val="nil"/>
            </w:tcBorders>
            <w:noWrap/>
            <w:vAlign w:val="center"/>
            <w:hideMark/>
          </w:tcPr>
          <w:p w14:paraId="53FB0AFB" w14:textId="77777777" w:rsidR="007D5719" w:rsidRPr="00530AB2" w:rsidRDefault="007D5719" w:rsidP="008C77A6">
            <w:pPr>
              <w:pStyle w:val="Sinespaciado"/>
              <w:jc w:val="right"/>
              <w:rPr>
                <w:rFonts w:ascii="Arial" w:hAnsi="Arial" w:cs="Arial"/>
                <w:b/>
                <w:bCs/>
                <w:sz w:val="20"/>
                <w:szCs w:val="20"/>
                <w:lang w:eastAsia="es-MX"/>
              </w:rPr>
            </w:pPr>
            <w:r w:rsidRPr="00530AB2">
              <w:rPr>
                <w:rFonts w:ascii="Arial" w:hAnsi="Arial" w:cs="Arial"/>
                <w:b/>
                <w:bCs/>
                <w:sz w:val="20"/>
                <w:szCs w:val="20"/>
                <w:lang w:eastAsia="es-MX"/>
              </w:rPr>
              <w:t xml:space="preserve">                 53,309,178.00</w:t>
            </w:r>
          </w:p>
        </w:tc>
      </w:tr>
      <w:tr w:rsidR="007D5719" w:rsidRPr="005732FC" w14:paraId="66ABC61E" w14:textId="77777777" w:rsidTr="008C77A6">
        <w:trPr>
          <w:trHeight w:val="60"/>
        </w:trPr>
        <w:tc>
          <w:tcPr>
            <w:tcW w:w="4917" w:type="dxa"/>
            <w:gridSpan w:val="2"/>
            <w:tcBorders>
              <w:top w:val="nil"/>
              <w:left w:val="nil"/>
              <w:bottom w:val="single" w:sz="8" w:space="0" w:color="auto"/>
              <w:right w:val="nil"/>
            </w:tcBorders>
            <w:shd w:val="clear" w:color="auto" w:fill="D9D9D9" w:themeFill="background1" w:themeFillShade="D9"/>
            <w:noWrap/>
            <w:vAlign w:val="center"/>
            <w:hideMark/>
          </w:tcPr>
          <w:p w14:paraId="39894A52" w14:textId="77777777" w:rsidR="007D5719" w:rsidRPr="005732FC" w:rsidRDefault="007D5719" w:rsidP="008C77A6">
            <w:pPr>
              <w:spacing w:after="0" w:line="240" w:lineRule="auto"/>
              <w:rPr>
                <w:rFonts w:ascii="Arial" w:eastAsia="Times New Roman" w:hAnsi="Arial" w:cs="Arial"/>
                <w:b/>
                <w:bCs/>
                <w:color w:val="000000"/>
                <w:kern w:val="0"/>
                <w:sz w:val="20"/>
                <w:szCs w:val="20"/>
                <w:lang w:eastAsia="es-MX"/>
                <w14:ligatures w14:val="none"/>
              </w:rPr>
            </w:pPr>
            <w:proofErr w:type="gramStart"/>
            <w:r w:rsidRPr="005732FC">
              <w:rPr>
                <w:rFonts w:ascii="Arial" w:eastAsia="Times New Roman" w:hAnsi="Arial" w:cs="Arial"/>
                <w:b/>
                <w:bCs/>
                <w:color w:val="000000"/>
                <w:kern w:val="0"/>
                <w:sz w:val="20"/>
                <w:szCs w:val="20"/>
                <w:lang w:eastAsia="es-MX"/>
                <w14:ligatures w14:val="none"/>
              </w:rPr>
              <w:t>Total</w:t>
            </w:r>
            <w:proofErr w:type="gramEnd"/>
            <w:r w:rsidRPr="005732FC">
              <w:rPr>
                <w:rFonts w:ascii="Arial" w:eastAsia="Times New Roman" w:hAnsi="Arial" w:cs="Arial"/>
                <w:b/>
                <w:bCs/>
                <w:color w:val="000000"/>
                <w:kern w:val="0"/>
                <w:sz w:val="20"/>
                <w:szCs w:val="20"/>
                <w:lang w:eastAsia="es-MX"/>
                <w14:ligatures w14:val="none"/>
              </w:rPr>
              <w:t xml:space="preserve"> Ingresos de Gestión</w:t>
            </w:r>
          </w:p>
        </w:tc>
        <w:tc>
          <w:tcPr>
            <w:tcW w:w="196" w:type="dxa"/>
            <w:tcBorders>
              <w:top w:val="nil"/>
              <w:left w:val="nil"/>
              <w:bottom w:val="single" w:sz="8" w:space="0" w:color="auto"/>
              <w:right w:val="nil"/>
            </w:tcBorders>
            <w:shd w:val="clear" w:color="auto" w:fill="D9D9D9" w:themeFill="background1" w:themeFillShade="D9"/>
            <w:noWrap/>
            <w:vAlign w:val="center"/>
            <w:hideMark/>
          </w:tcPr>
          <w:p w14:paraId="62F51164" w14:textId="77777777" w:rsidR="007D5719" w:rsidRPr="005732FC" w:rsidRDefault="007D5719" w:rsidP="008C77A6">
            <w:pPr>
              <w:spacing w:after="0" w:line="240" w:lineRule="auto"/>
              <w:rPr>
                <w:rFonts w:ascii="Arial" w:eastAsia="Times New Roman" w:hAnsi="Arial" w:cs="Arial"/>
                <w:b/>
                <w:bCs/>
                <w:color w:val="000000"/>
                <w:kern w:val="0"/>
                <w:sz w:val="20"/>
                <w:szCs w:val="20"/>
                <w:lang w:eastAsia="es-MX"/>
                <w14:ligatures w14:val="none"/>
              </w:rPr>
            </w:pPr>
          </w:p>
        </w:tc>
        <w:tc>
          <w:tcPr>
            <w:tcW w:w="2400" w:type="dxa"/>
            <w:tcBorders>
              <w:top w:val="nil"/>
              <w:left w:val="nil"/>
              <w:bottom w:val="single" w:sz="8" w:space="0" w:color="auto"/>
              <w:right w:val="nil"/>
            </w:tcBorders>
            <w:shd w:val="clear" w:color="auto" w:fill="D9D9D9" w:themeFill="background1" w:themeFillShade="D9"/>
            <w:noWrap/>
            <w:vAlign w:val="center"/>
            <w:hideMark/>
          </w:tcPr>
          <w:p w14:paraId="6EA90EDA" w14:textId="77777777" w:rsidR="007D5719" w:rsidRPr="005732FC" w:rsidRDefault="007D5719"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2,888,456,691.69 </w:t>
            </w:r>
          </w:p>
        </w:tc>
      </w:tr>
    </w:tbl>
    <w:p w14:paraId="7C06AE6E" w14:textId="74970A64" w:rsidR="00905751"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D98E2E5" w14:textId="77777777" w:rsidR="00445BB0" w:rsidRPr="005732FC" w:rsidRDefault="002F3F26" w:rsidP="00445BB0">
      <w:pPr>
        <w:pStyle w:val="Ttulo2"/>
        <w:numPr>
          <w:ilvl w:val="1"/>
          <w:numId w:val="12"/>
        </w:numPr>
        <w:ind w:left="0" w:hanging="284"/>
        <w:rPr>
          <w:rFonts w:ascii="Arial" w:hAnsi="Arial" w:cs="Arial"/>
          <w:sz w:val="20"/>
          <w:szCs w:val="20"/>
        </w:rPr>
      </w:pPr>
      <w:r w:rsidRPr="005732FC">
        <w:rPr>
          <w:rFonts w:ascii="Arial" w:hAnsi="Arial" w:cs="Arial"/>
          <w:b/>
          <w:bCs/>
          <w:color w:val="auto"/>
          <w:sz w:val="20"/>
          <w:szCs w:val="20"/>
        </w:rPr>
        <w:t xml:space="preserve"> </w:t>
      </w:r>
      <w:r w:rsidR="00445BB0" w:rsidRPr="005732FC">
        <w:rPr>
          <w:rFonts w:ascii="Arial" w:hAnsi="Arial" w:cs="Arial"/>
          <w:b/>
          <w:bCs/>
          <w:color w:val="auto"/>
          <w:sz w:val="20"/>
          <w:szCs w:val="20"/>
        </w:rPr>
        <w:t>Ingresos Por Participaciones, Aportaciones, Convenios, Incentivos Derivados de la Colaboración Fiscal, Fondos Distintos de Aportaciones, Transferencias, Asignaciones, Subsidios y Subvenciones, Pensiones y Jubilaciones.</w:t>
      </w:r>
    </w:p>
    <w:p w14:paraId="4D4544A8" w14:textId="77777777" w:rsidR="00445BB0" w:rsidRPr="005732FC" w:rsidRDefault="00445BB0" w:rsidP="00445BB0">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567B639" w14:textId="77777777" w:rsidR="00445BB0" w:rsidRPr="005732FC" w:rsidRDefault="00445BB0" w:rsidP="00445BB0">
      <w:pPr>
        <w:spacing w:after="0"/>
        <w:jc w:val="both"/>
        <w:rPr>
          <w:rFonts w:ascii="Arial" w:hAnsi="Arial" w:cs="Arial"/>
          <w:sz w:val="20"/>
          <w:szCs w:val="20"/>
        </w:rPr>
      </w:pPr>
      <w:r w:rsidRPr="005732FC">
        <w:rPr>
          <w:rFonts w:ascii="Arial" w:hAnsi="Arial" w:cs="Arial"/>
          <w:sz w:val="20"/>
          <w:szCs w:val="20"/>
        </w:rPr>
        <w:t>Los ingresos por participaciones, aportaciones, transferencias, asignaciones, subsidios y otras ayudas, comprende el importe de los ingresos de las entidades federativas y municipios por concepto de participaciones y aportaciones, incluye los recursos recibidos para la ejecución de programas federales mediante la reasignación de responsabilidades y recursos presupuestarios, en los términos de los convenios que celebren el gobierno federal con éstos. A continuación, se muestra el detalle de su integración al 30 de junio de 2025:</w:t>
      </w:r>
    </w:p>
    <w:p w14:paraId="1DF79E6F" w14:textId="26C696B4" w:rsidR="00400F19" w:rsidRPr="005732FC" w:rsidRDefault="00400F19" w:rsidP="00DE4D0A">
      <w:pPr>
        <w:rPr>
          <w:rFonts w:ascii="Arial" w:hAnsi="Arial" w:cs="Arial"/>
          <w:sz w:val="20"/>
          <w:szCs w:val="20"/>
        </w:rPr>
      </w:pPr>
    </w:p>
    <w:tbl>
      <w:tblPr>
        <w:tblW w:w="7513" w:type="dxa"/>
        <w:tblLayout w:type="fixed"/>
        <w:tblCellMar>
          <w:left w:w="70" w:type="dxa"/>
          <w:right w:w="70" w:type="dxa"/>
        </w:tblCellMar>
        <w:tblLook w:val="04A0" w:firstRow="1" w:lastRow="0" w:firstColumn="1" w:lastColumn="0" w:noHBand="0" w:noVBand="1"/>
      </w:tblPr>
      <w:tblGrid>
        <w:gridCol w:w="4743"/>
        <w:gridCol w:w="146"/>
        <w:gridCol w:w="14"/>
        <w:gridCol w:w="280"/>
        <w:gridCol w:w="2330"/>
      </w:tblGrid>
      <w:tr w:rsidR="00445BB0" w:rsidRPr="005732FC" w14:paraId="30B24D76" w14:textId="77777777" w:rsidTr="008C77A6">
        <w:trPr>
          <w:trHeight w:val="20"/>
          <w:tblHeader/>
        </w:trPr>
        <w:tc>
          <w:tcPr>
            <w:tcW w:w="5183" w:type="dxa"/>
            <w:gridSpan w:val="4"/>
            <w:tcBorders>
              <w:top w:val="single" w:sz="8" w:space="0" w:color="auto"/>
              <w:left w:val="nil"/>
              <w:bottom w:val="single" w:sz="8" w:space="0" w:color="auto"/>
              <w:right w:val="nil"/>
            </w:tcBorders>
            <w:shd w:val="clear" w:color="000000" w:fill="D9D9D9"/>
            <w:noWrap/>
            <w:vAlign w:val="center"/>
            <w:hideMark/>
          </w:tcPr>
          <w:p w14:paraId="65EB4D8C" w14:textId="77777777" w:rsidR="00445BB0" w:rsidRPr="005732FC" w:rsidRDefault="00445BB0"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330" w:type="dxa"/>
            <w:tcBorders>
              <w:top w:val="single" w:sz="8" w:space="0" w:color="auto"/>
              <w:left w:val="nil"/>
              <w:bottom w:val="single" w:sz="8" w:space="0" w:color="auto"/>
              <w:right w:val="nil"/>
            </w:tcBorders>
            <w:shd w:val="clear" w:color="000000" w:fill="D9D9D9"/>
            <w:noWrap/>
            <w:vAlign w:val="center"/>
            <w:hideMark/>
          </w:tcPr>
          <w:p w14:paraId="0F0AE9A6" w14:textId="77777777" w:rsidR="00445BB0" w:rsidRPr="005732FC" w:rsidRDefault="00445BB0"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r>
      <w:tr w:rsidR="00445BB0" w:rsidRPr="005732FC" w14:paraId="41230F78" w14:textId="77777777" w:rsidTr="008C77A6">
        <w:trPr>
          <w:trHeight w:val="20"/>
        </w:trPr>
        <w:tc>
          <w:tcPr>
            <w:tcW w:w="5183" w:type="dxa"/>
            <w:gridSpan w:val="4"/>
            <w:tcBorders>
              <w:top w:val="nil"/>
              <w:left w:val="nil"/>
              <w:bottom w:val="nil"/>
              <w:right w:val="nil"/>
            </w:tcBorders>
            <w:shd w:val="clear" w:color="auto" w:fill="auto"/>
            <w:noWrap/>
            <w:vAlign w:val="center"/>
            <w:hideMark/>
          </w:tcPr>
          <w:p w14:paraId="43527EA2" w14:textId="77777777" w:rsidR="00445BB0" w:rsidRPr="005732FC" w:rsidRDefault="00445BB0"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Participaciones, Aportaciones y Convenios</w:t>
            </w:r>
          </w:p>
        </w:tc>
        <w:tc>
          <w:tcPr>
            <w:tcW w:w="2330" w:type="dxa"/>
            <w:tcBorders>
              <w:top w:val="nil"/>
              <w:left w:val="nil"/>
              <w:bottom w:val="nil"/>
              <w:right w:val="nil"/>
            </w:tcBorders>
            <w:shd w:val="clear" w:color="auto" w:fill="auto"/>
            <w:noWrap/>
            <w:vAlign w:val="center"/>
            <w:hideMark/>
          </w:tcPr>
          <w:p w14:paraId="4ED0F3BA" w14:textId="77777777" w:rsidR="00445BB0" w:rsidRPr="005732FC" w:rsidRDefault="00445BB0"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1,614,376,601.72       </w:t>
            </w:r>
          </w:p>
        </w:tc>
      </w:tr>
      <w:tr w:rsidR="00445BB0" w:rsidRPr="005732FC" w14:paraId="0445CE31" w14:textId="77777777" w:rsidTr="008C77A6">
        <w:trPr>
          <w:trHeight w:val="20"/>
        </w:trPr>
        <w:tc>
          <w:tcPr>
            <w:tcW w:w="4743" w:type="dxa"/>
            <w:tcBorders>
              <w:top w:val="nil"/>
              <w:left w:val="nil"/>
              <w:bottom w:val="nil"/>
              <w:right w:val="nil"/>
            </w:tcBorders>
            <w:shd w:val="clear" w:color="auto" w:fill="auto"/>
            <w:noWrap/>
            <w:vAlign w:val="center"/>
            <w:hideMark/>
          </w:tcPr>
          <w:p w14:paraId="791553D2"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Participaciones</w:t>
            </w:r>
          </w:p>
        </w:tc>
        <w:tc>
          <w:tcPr>
            <w:tcW w:w="160" w:type="dxa"/>
            <w:gridSpan w:val="2"/>
            <w:tcBorders>
              <w:top w:val="nil"/>
              <w:left w:val="nil"/>
              <w:bottom w:val="nil"/>
              <w:right w:val="nil"/>
            </w:tcBorders>
            <w:shd w:val="clear" w:color="auto" w:fill="auto"/>
            <w:noWrap/>
            <w:vAlign w:val="center"/>
            <w:hideMark/>
          </w:tcPr>
          <w:p w14:paraId="423D8857"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shd w:val="clear" w:color="auto" w:fill="auto"/>
            <w:noWrap/>
            <w:vAlign w:val="center"/>
            <w:hideMark/>
          </w:tcPr>
          <w:p w14:paraId="4DA43E8E" w14:textId="77777777" w:rsidR="00445BB0" w:rsidRPr="005732FC" w:rsidRDefault="00445BB0" w:rsidP="008C77A6">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shd w:val="clear" w:color="auto" w:fill="auto"/>
            <w:noWrap/>
            <w:vAlign w:val="center"/>
            <w:hideMark/>
          </w:tcPr>
          <w:p w14:paraId="3100BC55"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780,697,033.00 </w:t>
            </w:r>
          </w:p>
        </w:tc>
      </w:tr>
      <w:tr w:rsidR="00445BB0" w:rsidRPr="005732FC" w14:paraId="782A6898" w14:textId="77777777" w:rsidTr="008C77A6">
        <w:trPr>
          <w:trHeight w:val="20"/>
        </w:trPr>
        <w:tc>
          <w:tcPr>
            <w:tcW w:w="4743" w:type="dxa"/>
            <w:tcBorders>
              <w:top w:val="nil"/>
              <w:left w:val="nil"/>
              <w:bottom w:val="nil"/>
              <w:right w:val="nil"/>
            </w:tcBorders>
            <w:shd w:val="clear" w:color="auto" w:fill="auto"/>
            <w:noWrap/>
            <w:vAlign w:val="center"/>
            <w:hideMark/>
          </w:tcPr>
          <w:p w14:paraId="0503E1F4"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Aportaciones</w:t>
            </w:r>
          </w:p>
        </w:tc>
        <w:tc>
          <w:tcPr>
            <w:tcW w:w="160" w:type="dxa"/>
            <w:gridSpan w:val="2"/>
            <w:tcBorders>
              <w:top w:val="nil"/>
              <w:left w:val="nil"/>
              <w:bottom w:val="nil"/>
              <w:right w:val="nil"/>
            </w:tcBorders>
            <w:shd w:val="clear" w:color="auto" w:fill="auto"/>
            <w:noWrap/>
            <w:vAlign w:val="center"/>
            <w:hideMark/>
          </w:tcPr>
          <w:p w14:paraId="0100114E"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shd w:val="clear" w:color="auto" w:fill="auto"/>
            <w:noWrap/>
            <w:vAlign w:val="center"/>
            <w:hideMark/>
          </w:tcPr>
          <w:p w14:paraId="7AA491A2" w14:textId="77777777" w:rsidR="00445BB0" w:rsidRPr="005732FC" w:rsidRDefault="00445BB0" w:rsidP="008C77A6">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shd w:val="clear" w:color="auto" w:fill="auto"/>
            <w:noWrap/>
            <w:vAlign w:val="center"/>
            <w:hideMark/>
          </w:tcPr>
          <w:p w14:paraId="1673EBD1"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620,055,516.00 </w:t>
            </w:r>
          </w:p>
        </w:tc>
      </w:tr>
      <w:tr w:rsidR="00445BB0" w:rsidRPr="005732FC" w14:paraId="004FCF88" w14:textId="77777777" w:rsidTr="008C77A6">
        <w:trPr>
          <w:trHeight w:val="20"/>
        </w:trPr>
        <w:tc>
          <w:tcPr>
            <w:tcW w:w="4743" w:type="dxa"/>
            <w:tcBorders>
              <w:top w:val="nil"/>
              <w:left w:val="nil"/>
              <w:bottom w:val="nil"/>
              <w:right w:val="nil"/>
            </w:tcBorders>
            <w:shd w:val="clear" w:color="auto" w:fill="auto"/>
            <w:noWrap/>
            <w:vAlign w:val="center"/>
            <w:hideMark/>
          </w:tcPr>
          <w:p w14:paraId="0DFB8DDA"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Convenios</w:t>
            </w:r>
          </w:p>
        </w:tc>
        <w:tc>
          <w:tcPr>
            <w:tcW w:w="160" w:type="dxa"/>
            <w:gridSpan w:val="2"/>
            <w:tcBorders>
              <w:top w:val="nil"/>
              <w:left w:val="nil"/>
              <w:bottom w:val="nil"/>
              <w:right w:val="nil"/>
            </w:tcBorders>
            <w:shd w:val="clear" w:color="auto" w:fill="auto"/>
            <w:noWrap/>
            <w:vAlign w:val="center"/>
            <w:hideMark/>
          </w:tcPr>
          <w:p w14:paraId="067D96C7"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shd w:val="clear" w:color="auto" w:fill="auto"/>
            <w:noWrap/>
            <w:vAlign w:val="center"/>
            <w:hideMark/>
          </w:tcPr>
          <w:p w14:paraId="1B0DF4B6" w14:textId="77777777" w:rsidR="00445BB0" w:rsidRPr="005732FC" w:rsidRDefault="00445BB0" w:rsidP="008C77A6">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shd w:val="clear" w:color="auto" w:fill="auto"/>
            <w:vAlign w:val="center"/>
            <w:hideMark/>
          </w:tcPr>
          <w:p w14:paraId="0171A83D"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92,825,278.95</w:t>
            </w:r>
          </w:p>
        </w:tc>
      </w:tr>
      <w:tr w:rsidR="00445BB0" w:rsidRPr="005732FC" w14:paraId="726EBE37" w14:textId="77777777" w:rsidTr="008C77A6">
        <w:trPr>
          <w:trHeight w:val="20"/>
        </w:trPr>
        <w:tc>
          <w:tcPr>
            <w:tcW w:w="5183" w:type="dxa"/>
            <w:gridSpan w:val="4"/>
            <w:tcBorders>
              <w:top w:val="nil"/>
              <w:left w:val="nil"/>
              <w:bottom w:val="nil"/>
              <w:right w:val="nil"/>
            </w:tcBorders>
            <w:shd w:val="clear" w:color="auto" w:fill="auto"/>
            <w:noWrap/>
            <w:vAlign w:val="center"/>
            <w:hideMark/>
          </w:tcPr>
          <w:p w14:paraId="10D93DB2"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Incentivos derivados de la colaboración fiscal</w:t>
            </w:r>
          </w:p>
        </w:tc>
        <w:tc>
          <w:tcPr>
            <w:tcW w:w="2330" w:type="dxa"/>
            <w:tcBorders>
              <w:top w:val="nil"/>
              <w:left w:val="nil"/>
              <w:bottom w:val="nil"/>
              <w:right w:val="nil"/>
            </w:tcBorders>
            <w:shd w:val="clear" w:color="auto" w:fill="auto"/>
            <w:noWrap/>
            <w:vAlign w:val="center"/>
            <w:hideMark/>
          </w:tcPr>
          <w:p w14:paraId="792097DC"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120,798,773.77 </w:t>
            </w:r>
          </w:p>
        </w:tc>
      </w:tr>
      <w:tr w:rsidR="00445BB0" w:rsidRPr="005732FC" w14:paraId="127FD287" w14:textId="77777777" w:rsidTr="008C77A6">
        <w:trPr>
          <w:trHeight w:val="20"/>
        </w:trPr>
        <w:tc>
          <w:tcPr>
            <w:tcW w:w="5183" w:type="dxa"/>
            <w:gridSpan w:val="4"/>
            <w:tcBorders>
              <w:top w:val="nil"/>
              <w:left w:val="nil"/>
              <w:bottom w:val="nil"/>
              <w:right w:val="nil"/>
            </w:tcBorders>
            <w:shd w:val="clear" w:color="auto" w:fill="auto"/>
            <w:vAlign w:val="center"/>
            <w:hideMark/>
          </w:tcPr>
          <w:p w14:paraId="1D844862" w14:textId="77777777" w:rsidR="00445BB0" w:rsidRPr="005732FC" w:rsidRDefault="00445BB0"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Transferencias, Asignaciones, Subsidios y Otras Ayudas</w:t>
            </w:r>
          </w:p>
        </w:tc>
        <w:tc>
          <w:tcPr>
            <w:tcW w:w="2330" w:type="dxa"/>
            <w:tcBorders>
              <w:top w:val="nil"/>
              <w:left w:val="nil"/>
              <w:bottom w:val="nil"/>
              <w:right w:val="nil"/>
            </w:tcBorders>
            <w:shd w:val="clear" w:color="auto" w:fill="auto"/>
            <w:vAlign w:val="center"/>
            <w:hideMark/>
          </w:tcPr>
          <w:p w14:paraId="76D98993" w14:textId="77777777" w:rsidR="00445BB0" w:rsidRPr="005732FC" w:rsidRDefault="00445BB0"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0.00</w:t>
            </w:r>
          </w:p>
        </w:tc>
      </w:tr>
      <w:tr w:rsidR="00445BB0" w:rsidRPr="005732FC" w14:paraId="535FE66D" w14:textId="77777777" w:rsidTr="008C77A6">
        <w:trPr>
          <w:trHeight w:val="20"/>
        </w:trPr>
        <w:tc>
          <w:tcPr>
            <w:tcW w:w="5183" w:type="dxa"/>
            <w:gridSpan w:val="4"/>
            <w:tcBorders>
              <w:top w:val="nil"/>
              <w:left w:val="nil"/>
              <w:bottom w:val="nil"/>
              <w:right w:val="nil"/>
            </w:tcBorders>
            <w:shd w:val="clear" w:color="auto" w:fill="auto"/>
            <w:vAlign w:val="center"/>
            <w:hideMark/>
          </w:tcPr>
          <w:p w14:paraId="4CBC3DEA"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Transferencias internas y asignaciones al sector público</w:t>
            </w:r>
          </w:p>
        </w:tc>
        <w:tc>
          <w:tcPr>
            <w:tcW w:w="2330" w:type="dxa"/>
            <w:tcBorders>
              <w:top w:val="nil"/>
              <w:left w:val="nil"/>
              <w:bottom w:val="nil"/>
              <w:right w:val="nil"/>
            </w:tcBorders>
            <w:shd w:val="clear" w:color="auto" w:fill="auto"/>
            <w:vAlign w:val="center"/>
            <w:hideMark/>
          </w:tcPr>
          <w:p w14:paraId="6CA00EAD"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445BB0" w:rsidRPr="005732FC" w14:paraId="125BF890" w14:textId="77777777" w:rsidTr="008C77A6">
        <w:trPr>
          <w:trHeight w:val="20"/>
        </w:trPr>
        <w:tc>
          <w:tcPr>
            <w:tcW w:w="4889" w:type="dxa"/>
            <w:gridSpan w:val="2"/>
            <w:tcBorders>
              <w:top w:val="nil"/>
              <w:left w:val="nil"/>
              <w:bottom w:val="single" w:sz="8" w:space="0" w:color="auto"/>
              <w:right w:val="nil"/>
            </w:tcBorders>
            <w:shd w:val="clear" w:color="auto" w:fill="auto"/>
            <w:noWrap/>
            <w:vAlign w:val="center"/>
            <w:hideMark/>
          </w:tcPr>
          <w:p w14:paraId="2117CCE0"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Subsidios y subvenciones</w:t>
            </w:r>
          </w:p>
        </w:tc>
        <w:tc>
          <w:tcPr>
            <w:tcW w:w="294" w:type="dxa"/>
            <w:gridSpan w:val="2"/>
            <w:tcBorders>
              <w:top w:val="nil"/>
              <w:left w:val="nil"/>
              <w:bottom w:val="single" w:sz="8" w:space="0" w:color="auto"/>
              <w:right w:val="nil"/>
            </w:tcBorders>
            <w:shd w:val="clear" w:color="auto" w:fill="auto"/>
            <w:noWrap/>
            <w:vAlign w:val="center"/>
            <w:hideMark/>
          </w:tcPr>
          <w:p w14:paraId="291B68B8" w14:textId="77777777" w:rsidR="00445BB0" w:rsidRPr="005732FC" w:rsidRDefault="00445BB0"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w:t>
            </w:r>
          </w:p>
        </w:tc>
        <w:tc>
          <w:tcPr>
            <w:tcW w:w="2330" w:type="dxa"/>
            <w:tcBorders>
              <w:top w:val="nil"/>
              <w:left w:val="nil"/>
              <w:bottom w:val="nil"/>
              <w:right w:val="nil"/>
            </w:tcBorders>
            <w:shd w:val="clear" w:color="auto" w:fill="auto"/>
            <w:vAlign w:val="center"/>
            <w:hideMark/>
          </w:tcPr>
          <w:p w14:paraId="1B8D2F4A" w14:textId="77777777" w:rsidR="00445BB0" w:rsidRPr="005732FC" w:rsidRDefault="00445BB0"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445BB0" w:rsidRPr="005732FC" w14:paraId="66F22800" w14:textId="77777777" w:rsidTr="008C77A6">
        <w:trPr>
          <w:trHeight w:val="20"/>
        </w:trPr>
        <w:tc>
          <w:tcPr>
            <w:tcW w:w="5183" w:type="dxa"/>
            <w:gridSpan w:val="4"/>
            <w:tcBorders>
              <w:top w:val="single" w:sz="8" w:space="0" w:color="auto"/>
              <w:left w:val="nil"/>
              <w:bottom w:val="single" w:sz="8" w:space="0" w:color="auto"/>
              <w:right w:val="nil"/>
            </w:tcBorders>
            <w:shd w:val="clear" w:color="000000" w:fill="D9D9D9"/>
            <w:vAlign w:val="center"/>
            <w:hideMark/>
          </w:tcPr>
          <w:p w14:paraId="6D5B5525" w14:textId="77777777" w:rsidR="00445BB0" w:rsidRPr="005732FC" w:rsidRDefault="00445BB0"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 Participaciones, Aportaciones, Convenios, Incentivos Derivados de la Colaboración Fiscal, Fondos Distintos de Aportaciones, Transferencias, Asignaciones, Subsidios y Subvenciones, Pensiones y Jubilaciones.</w:t>
            </w:r>
          </w:p>
        </w:tc>
        <w:tc>
          <w:tcPr>
            <w:tcW w:w="2330" w:type="dxa"/>
            <w:tcBorders>
              <w:top w:val="single" w:sz="8" w:space="0" w:color="auto"/>
              <w:left w:val="nil"/>
              <w:bottom w:val="single" w:sz="8" w:space="0" w:color="auto"/>
              <w:right w:val="nil"/>
            </w:tcBorders>
            <w:shd w:val="clear" w:color="000000" w:fill="D9D9D9"/>
            <w:noWrap/>
            <w:vAlign w:val="center"/>
            <w:hideMark/>
          </w:tcPr>
          <w:p w14:paraId="63DE6C6B" w14:textId="77777777" w:rsidR="00445BB0" w:rsidRPr="005732FC" w:rsidRDefault="00445BB0"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1,614,376,601.72 </w:t>
            </w:r>
          </w:p>
        </w:tc>
      </w:tr>
    </w:tbl>
    <w:p w14:paraId="4B8AD8BF" w14:textId="653BE0D6"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7FE98C7" w14:textId="77777777" w:rsidR="007D5719" w:rsidRPr="005732FC" w:rsidRDefault="007D5719" w:rsidP="007D5719">
      <w:pPr>
        <w:keepNext/>
        <w:keepLines/>
        <w:numPr>
          <w:ilvl w:val="1"/>
          <w:numId w:val="12"/>
        </w:numPr>
        <w:spacing w:before="40" w:after="0"/>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sz w:val="20"/>
          <w:szCs w:val="20"/>
        </w:rPr>
        <w:t>Otros Ingresos y Beneficios</w:t>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3D37CE2E" w14:textId="77777777" w:rsidR="007D5719" w:rsidRPr="005732FC" w:rsidRDefault="007D5719" w:rsidP="007D5719">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0ED83EB" w14:textId="77777777" w:rsidR="007D5719" w:rsidRPr="005732FC" w:rsidRDefault="007D5719" w:rsidP="007D5719">
      <w:pPr>
        <w:spacing w:after="0"/>
        <w:jc w:val="both"/>
        <w:rPr>
          <w:rFonts w:ascii="Arial" w:hAnsi="Arial" w:cs="Arial"/>
          <w:sz w:val="20"/>
          <w:szCs w:val="20"/>
        </w:rPr>
      </w:pPr>
      <w:r w:rsidRPr="005732FC">
        <w:rPr>
          <w:rFonts w:ascii="Arial" w:hAnsi="Arial" w:cs="Arial"/>
          <w:sz w:val="20"/>
          <w:szCs w:val="20"/>
        </w:rPr>
        <w:t>El saldo del rubro “Otros Ingresos y Beneficios Varios” se integra, al 30 de junio de 2025, por el monto de otros ingresos no incluidos en los rubros específicos de ingresos obtenidos por los entes públicos:</w:t>
      </w:r>
    </w:p>
    <w:p w14:paraId="52EA939B" w14:textId="77777777" w:rsidR="007D5719" w:rsidRPr="005732FC" w:rsidRDefault="007D5719" w:rsidP="007D5719">
      <w:pPr>
        <w:spacing w:after="0"/>
        <w:jc w:val="both"/>
        <w:rPr>
          <w:rFonts w:ascii="Arial" w:hAnsi="Arial" w:cs="Arial"/>
          <w:sz w:val="20"/>
          <w:szCs w:val="20"/>
        </w:rPr>
      </w:pPr>
    </w:p>
    <w:tbl>
      <w:tblPr>
        <w:tblW w:w="6910" w:type="dxa"/>
        <w:tblCellMar>
          <w:left w:w="70" w:type="dxa"/>
          <w:right w:w="70" w:type="dxa"/>
        </w:tblCellMar>
        <w:tblLook w:val="04A0" w:firstRow="1" w:lastRow="0" w:firstColumn="1" w:lastColumn="0" w:noHBand="0" w:noVBand="1"/>
      </w:tblPr>
      <w:tblGrid>
        <w:gridCol w:w="4506"/>
        <w:gridCol w:w="2404"/>
      </w:tblGrid>
      <w:tr w:rsidR="007D5719" w:rsidRPr="005732FC" w14:paraId="69B48CE4" w14:textId="77777777" w:rsidTr="008C77A6">
        <w:trPr>
          <w:trHeight w:val="27"/>
          <w:tblHeader/>
        </w:trPr>
        <w:tc>
          <w:tcPr>
            <w:tcW w:w="4506" w:type="dxa"/>
            <w:tcBorders>
              <w:top w:val="single" w:sz="8" w:space="0" w:color="auto"/>
              <w:left w:val="nil"/>
              <w:bottom w:val="single" w:sz="8" w:space="0" w:color="auto"/>
              <w:right w:val="nil"/>
            </w:tcBorders>
            <w:shd w:val="clear" w:color="000000" w:fill="D9D9D9"/>
            <w:noWrap/>
            <w:vAlign w:val="center"/>
            <w:hideMark/>
          </w:tcPr>
          <w:p w14:paraId="0C2D74DB" w14:textId="77777777" w:rsidR="007D5719" w:rsidRPr="005732FC" w:rsidRDefault="007D5719" w:rsidP="007D5719">
            <w:pPr>
              <w:spacing w:after="0" w:line="240" w:lineRule="auto"/>
              <w:jc w:val="center"/>
              <w:rPr>
                <w:rFonts w:ascii="Arial" w:hAnsi="Arial" w:cs="Arial"/>
                <w:b/>
                <w:bCs/>
                <w:sz w:val="20"/>
                <w:szCs w:val="20"/>
                <w:lang w:eastAsia="es-MX"/>
              </w:rPr>
            </w:pPr>
            <w:r w:rsidRPr="005732FC">
              <w:rPr>
                <w:rFonts w:ascii="Arial" w:hAnsi="Arial" w:cs="Arial"/>
                <w:b/>
                <w:bCs/>
                <w:sz w:val="20"/>
                <w:szCs w:val="20"/>
                <w:lang w:eastAsia="es-MX"/>
              </w:rPr>
              <w:t>Concepto</w:t>
            </w:r>
          </w:p>
        </w:tc>
        <w:tc>
          <w:tcPr>
            <w:tcW w:w="2404" w:type="dxa"/>
            <w:tcBorders>
              <w:top w:val="single" w:sz="8" w:space="0" w:color="auto"/>
              <w:left w:val="nil"/>
              <w:bottom w:val="single" w:sz="8" w:space="0" w:color="auto"/>
              <w:right w:val="nil"/>
            </w:tcBorders>
            <w:shd w:val="clear" w:color="000000" w:fill="D9D9D9"/>
            <w:noWrap/>
            <w:vAlign w:val="center"/>
            <w:hideMark/>
          </w:tcPr>
          <w:p w14:paraId="46E8BD57" w14:textId="77777777" w:rsidR="007D5719" w:rsidRPr="005732FC" w:rsidRDefault="007D5719" w:rsidP="007D5719">
            <w:pPr>
              <w:spacing w:after="0" w:line="240" w:lineRule="auto"/>
              <w:jc w:val="center"/>
              <w:rPr>
                <w:rFonts w:ascii="Arial" w:hAnsi="Arial" w:cs="Arial"/>
                <w:b/>
                <w:bCs/>
                <w:sz w:val="20"/>
                <w:szCs w:val="20"/>
                <w:lang w:eastAsia="es-MX"/>
              </w:rPr>
            </w:pPr>
            <w:r w:rsidRPr="005732FC">
              <w:rPr>
                <w:rFonts w:ascii="Arial" w:hAnsi="Arial" w:cs="Arial"/>
                <w:b/>
                <w:bCs/>
                <w:sz w:val="20"/>
                <w:szCs w:val="20"/>
                <w:lang w:eastAsia="es-MX"/>
              </w:rPr>
              <w:t xml:space="preserve">        30 de junio 2025</w:t>
            </w:r>
          </w:p>
        </w:tc>
      </w:tr>
      <w:tr w:rsidR="007D5719" w:rsidRPr="005732FC" w14:paraId="222CEB0C" w14:textId="77777777" w:rsidTr="008C77A6">
        <w:trPr>
          <w:trHeight w:val="117"/>
        </w:trPr>
        <w:tc>
          <w:tcPr>
            <w:tcW w:w="4506" w:type="dxa"/>
            <w:tcBorders>
              <w:top w:val="nil"/>
              <w:left w:val="nil"/>
              <w:bottom w:val="nil"/>
              <w:right w:val="nil"/>
            </w:tcBorders>
            <w:noWrap/>
            <w:vAlign w:val="center"/>
            <w:hideMark/>
          </w:tcPr>
          <w:p w14:paraId="4E8E024F" w14:textId="77777777" w:rsidR="007D5719" w:rsidRPr="005732FC" w:rsidRDefault="007D5719" w:rsidP="007D5719">
            <w:pPr>
              <w:spacing w:after="0" w:line="240" w:lineRule="auto"/>
              <w:rPr>
                <w:rFonts w:ascii="Arial" w:hAnsi="Arial" w:cs="Arial"/>
                <w:sz w:val="20"/>
                <w:szCs w:val="20"/>
                <w:lang w:eastAsia="es-MX"/>
              </w:rPr>
            </w:pPr>
            <w:r w:rsidRPr="005732FC">
              <w:rPr>
                <w:rFonts w:ascii="Arial" w:hAnsi="Arial" w:cs="Arial"/>
                <w:sz w:val="20"/>
                <w:szCs w:val="20"/>
                <w:lang w:eastAsia="es-MX"/>
              </w:rPr>
              <w:t>Ingresos Financieros</w:t>
            </w:r>
          </w:p>
        </w:tc>
        <w:tc>
          <w:tcPr>
            <w:tcW w:w="2404" w:type="dxa"/>
            <w:tcBorders>
              <w:top w:val="nil"/>
              <w:left w:val="nil"/>
              <w:bottom w:val="nil"/>
              <w:right w:val="nil"/>
            </w:tcBorders>
            <w:noWrap/>
            <w:vAlign w:val="bottom"/>
            <w:hideMark/>
          </w:tcPr>
          <w:p w14:paraId="38FB77BA" w14:textId="77777777" w:rsidR="007D5719" w:rsidRPr="005732FC" w:rsidRDefault="007D5719" w:rsidP="007D5719">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7D5719" w:rsidRPr="005732FC" w14:paraId="6247E04E" w14:textId="77777777" w:rsidTr="008C77A6">
        <w:trPr>
          <w:trHeight w:val="168"/>
        </w:trPr>
        <w:tc>
          <w:tcPr>
            <w:tcW w:w="4506" w:type="dxa"/>
            <w:tcBorders>
              <w:top w:val="nil"/>
              <w:left w:val="nil"/>
              <w:bottom w:val="single" w:sz="8" w:space="0" w:color="auto"/>
              <w:right w:val="nil"/>
            </w:tcBorders>
            <w:noWrap/>
            <w:vAlign w:val="center"/>
            <w:hideMark/>
          </w:tcPr>
          <w:p w14:paraId="3041E1FC" w14:textId="77777777" w:rsidR="007D5719" w:rsidRPr="005732FC" w:rsidRDefault="007D5719" w:rsidP="007D5719">
            <w:pPr>
              <w:spacing w:after="0" w:line="240" w:lineRule="auto"/>
              <w:rPr>
                <w:rFonts w:ascii="Arial" w:hAnsi="Arial" w:cs="Arial"/>
                <w:sz w:val="20"/>
                <w:szCs w:val="20"/>
                <w:lang w:eastAsia="es-MX"/>
              </w:rPr>
            </w:pPr>
            <w:r w:rsidRPr="005732FC">
              <w:rPr>
                <w:rFonts w:ascii="Arial" w:hAnsi="Arial" w:cs="Arial"/>
                <w:sz w:val="20"/>
                <w:szCs w:val="20"/>
                <w:lang w:eastAsia="es-MX"/>
              </w:rPr>
              <w:t>Otros ingresos y beneficios varios</w:t>
            </w:r>
          </w:p>
        </w:tc>
        <w:tc>
          <w:tcPr>
            <w:tcW w:w="2404" w:type="dxa"/>
            <w:tcBorders>
              <w:top w:val="nil"/>
              <w:left w:val="nil"/>
              <w:bottom w:val="single" w:sz="8" w:space="0" w:color="auto"/>
              <w:right w:val="nil"/>
            </w:tcBorders>
            <w:noWrap/>
            <w:vAlign w:val="bottom"/>
            <w:hideMark/>
          </w:tcPr>
          <w:p w14:paraId="6A8743FB" w14:textId="77777777" w:rsidR="007D5719" w:rsidRPr="005732FC" w:rsidRDefault="007D5719" w:rsidP="007D5719">
            <w:pPr>
              <w:spacing w:after="0" w:line="240" w:lineRule="auto"/>
              <w:jc w:val="right"/>
              <w:rPr>
                <w:rFonts w:ascii="Arial" w:hAnsi="Arial" w:cs="Arial"/>
                <w:sz w:val="20"/>
                <w:szCs w:val="20"/>
                <w:lang w:eastAsia="es-MX"/>
              </w:rPr>
            </w:pPr>
            <w:r w:rsidRPr="005732FC">
              <w:rPr>
                <w:rFonts w:ascii="Arial" w:hAnsi="Arial" w:cs="Arial"/>
                <w:sz w:val="20"/>
                <w:szCs w:val="20"/>
                <w:lang w:eastAsia="es-MX"/>
              </w:rPr>
              <w:t>1,118,141.12</w:t>
            </w:r>
          </w:p>
        </w:tc>
      </w:tr>
      <w:tr w:rsidR="007D5719" w:rsidRPr="005732FC" w14:paraId="16376345" w14:textId="77777777" w:rsidTr="008C77A6">
        <w:trPr>
          <w:trHeight w:val="60"/>
        </w:trPr>
        <w:tc>
          <w:tcPr>
            <w:tcW w:w="4506" w:type="dxa"/>
            <w:tcBorders>
              <w:top w:val="nil"/>
              <w:left w:val="nil"/>
              <w:bottom w:val="single" w:sz="8" w:space="0" w:color="auto"/>
              <w:right w:val="nil"/>
            </w:tcBorders>
            <w:shd w:val="clear" w:color="000000" w:fill="D9D9D9"/>
            <w:noWrap/>
            <w:vAlign w:val="center"/>
            <w:hideMark/>
          </w:tcPr>
          <w:p w14:paraId="7A74EE4B" w14:textId="77777777" w:rsidR="007D5719" w:rsidRPr="005732FC" w:rsidRDefault="007D5719" w:rsidP="007D5719">
            <w:pPr>
              <w:spacing w:after="0" w:line="240" w:lineRule="auto"/>
              <w:rPr>
                <w:rFonts w:ascii="Arial" w:hAnsi="Arial" w:cs="Arial"/>
                <w:b/>
                <w:bCs/>
                <w:sz w:val="20"/>
                <w:szCs w:val="20"/>
                <w:lang w:eastAsia="es-MX"/>
              </w:rPr>
            </w:pPr>
            <w:r w:rsidRPr="005732FC">
              <w:rPr>
                <w:rFonts w:ascii="Arial" w:hAnsi="Arial" w:cs="Arial"/>
                <w:b/>
                <w:bCs/>
                <w:sz w:val="20"/>
                <w:szCs w:val="20"/>
                <w:lang w:eastAsia="es-MX"/>
              </w:rPr>
              <w:t xml:space="preserve">Total, Otros Ingresos y Beneficios                                                                                                    </w:t>
            </w:r>
          </w:p>
        </w:tc>
        <w:tc>
          <w:tcPr>
            <w:tcW w:w="2404" w:type="dxa"/>
            <w:tcBorders>
              <w:top w:val="nil"/>
              <w:left w:val="nil"/>
              <w:bottom w:val="single" w:sz="8" w:space="0" w:color="auto"/>
              <w:right w:val="nil"/>
            </w:tcBorders>
            <w:shd w:val="clear" w:color="000000" w:fill="D9D9D9"/>
            <w:noWrap/>
            <w:vAlign w:val="center"/>
            <w:hideMark/>
          </w:tcPr>
          <w:p w14:paraId="72E6AAE7" w14:textId="77777777" w:rsidR="007D5719" w:rsidRPr="005732FC" w:rsidRDefault="007D5719" w:rsidP="007D5719">
            <w:pPr>
              <w:spacing w:after="0" w:line="240" w:lineRule="auto"/>
              <w:jc w:val="right"/>
              <w:rPr>
                <w:rFonts w:ascii="Arial" w:hAnsi="Arial" w:cs="Arial"/>
                <w:b/>
                <w:bCs/>
                <w:sz w:val="20"/>
                <w:szCs w:val="20"/>
                <w:lang w:eastAsia="es-MX"/>
              </w:rPr>
            </w:pPr>
            <w:r w:rsidRPr="005732FC">
              <w:rPr>
                <w:rFonts w:ascii="Arial" w:hAnsi="Arial" w:cs="Arial"/>
                <w:b/>
                <w:bCs/>
                <w:sz w:val="20"/>
                <w:szCs w:val="20"/>
                <w:lang w:eastAsia="es-MX"/>
              </w:rPr>
              <w:t>1,118,141.12</w:t>
            </w:r>
          </w:p>
        </w:tc>
      </w:tr>
    </w:tbl>
    <w:p w14:paraId="7A0A8846" w14:textId="77777777" w:rsidR="000F2BF4" w:rsidRPr="005732FC" w:rsidRDefault="000F2BF4" w:rsidP="005D2B3E">
      <w:pPr>
        <w:spacing w:after="0"/>
        <w:jc w:val="both"/>
        <w:rPr>
          <w:rFonts w:ascii="Arial" w:hAnsi="Arial" w:cs="Arial"/>
          <w:b/>
          <w:bCs/>
          <w:sz w:val="20"/>
          <w:szCs w:val="20"/>
        </w:rPr>
      </w:pPr>
    </w:p>
    <w:p w14:paraId="54B4E0E3" w14:textId="77777777" w:rsidR="0004140C" w:rsidRPr="005732FC" w:rsidRDefault="0004140C" w:rsidP="0004140C">
      <w:pPr>
        <w:spacing w:after="0"/>
        <w:jc w:val="both"/>
        <w:rPr>
          <w:rFonts w:ascii="Arial" w:hAnsi="Arial" w:cs="Arial"/>
          <w:b/>
          <w:bCs/>
          <w:sz w:val="20"/>
          <w:szCs w:val="20"/>
        </w:rPr>
      </w:pPr>
      <w:r w:rsidRPr="005732FC">
        <w:rPr>
          <w:rFonts w:ascii="Arial" w:hAnsi="Arial" w:cs="Arial"/>
          <w:b/>
          <w:bCs/>
          <w:sz w:val="20"/>
          <w:szCs w:val="20"/>
        </w:rPr>
        <w:t>Gastos y Otras Pérdidas</w:t>
      </w:r>
    </w:p>
    <w:p w14:paraId="3A24559C" w14:textId="77777777" w:rsidR="0004140C" w:rsidRPr="005732FC" w:rsidRDefault="0004140C" w:rsidP="0004140C">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p>
    <w:p w14:paraId="1EF516CB" w14:textId="77777777" w:rsidR="0004140C" w:rsidRPr="005732FC" w:rsidRDefault="0004140C" w:rsidP="0004140C">
      <w:pPr>
        <w:keepNext/>
        <w:keepLines/>
        <w:spacing w:before="40" w:after="0"/>
        <w:ind w:hanging="284"/>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sz w:val="20"/>
          <w:szCs w:val="20"/>
        </w:rPr>
        <w:t>2.1 Gastos de Funcionamiento</w:t>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3B782A69" w14:textId="77777777" w:rsidR="0004140C" w:rsidRPr="005732FC" w:rsidRDefault="0004140C" w:rsidP="00CA65C1">
      <w:pPr>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BFFCE9F" w14:textId="77777777" w:rsidR="0004140C" w:rsidRPr="005732FC" w:rsidRDefault="0004140C" w:rsidP="0004140C">
      <w:pPr>
        <w:spacing w:after="0"/>
        <w:jc w:val="both"/>
        <w:rPr>
          <w:rFonts w:ascii="Arial" w:hAnsi="Arial" w:cs="Arial"/>
          <w:sz w:val="20"/>
          <w:szCs w:val="20"/>
        </w:rPr>
      </w:pPr>
      <w:r w:rsidRPr="005732FC">
        <w:rPr>
          <w:rFonts w:ascii="Arial" w:hAnsi="Arial" w:cs="Arial"/>
          <w:sz w:val="20"/>
          <w:szCs w:val="20"/>
        </w:rPr>
        <w:lastRenderedPageBreak/>
        <w:t>Los Gastos de funcionamiento comprenden el importe del gasto por servicios personales, materiales, suministros y servicios generales no personales, necesarios para el funcionamiento del ente público, mismos que se relacionan a continuación:</w:t>
      </w:r>
    </w:p>
    <w:p w14:paraId="6FA66062" w14:textId="77777777" w:rsidR="0004140C" w:rsidRPr="005732FC" w:rsidRDefault="0004140C" w:rsidP="00CA65C1">
      <w:pPr>
        <w:rPr>
          <w:rFonts w:ascii="Arial" w:hAnsi="Arial" w:cs="Arial"/>
          <w:sz w:val="20"/>
          <w:szCs w:val="20"/>
        </w:rPr>
      </w:pPr>
    </w:p>
    <w:tbl>
      <w:tblPr>
        <w:tblpPr w:leftFromText="141" w:rightFromText="141" w:vertAnchor="text" w:tblpY="1"/>
        <w:tblOverlap w:val="never"/>
        <w:tblW w:w="7513" w:type="dxa"/>
        <w:tblCellMar>
          <w:left w:w="70" w:type="dxa"/>
          <w:right w:w="70" w:type="dxa"/>
        </w:tblCellMar>
        <w:tblLook w:val="04A0" w:firstRow="1" w:lastRow="0" w:firstColumn="1" w:lastColumn="0" w:noHBand="0" w:noVBand="1"/>
      </w:tblPr>
      <w:tblGrid>
        <w:gridCol w:w="5060"/>
        <w:gridCol w:w="2453"/>
      </w:tblGrid>
      <w:tr w:rsidR="0004140C" w:rsidRPr="005732FC" w14:paraId="3D10DE4F" w14:textId="77777777" w:rsidTr="008C77A6">
        <w:trPr>
          <w:trHeight w:val="20"/>
          <w:tblHeader/>
        </w:trPr>
        <w:tc>
          <w:tcPr>
            <w:tcW w:w="5060" w:type="dxa"/>
            <w:tcBorders>
              <w:top w:val="single" w:sz="8" w:space="0" w:color="auto"/>
              <w:left w:val="nil"/>
              <w:bottom w:val="single" w:sz="4" w:space="0" w:color="auto"/>
              <w:right w:val="nil"/>
            </w:tcBorders>
            <w:shd w:val="clear" w:color="000000" w:fill="D9D9D9"/>
            <w:noWrap/>
            <w:vAlign w:val="center"/>
            <w:hideMark/>
          </w:tcPr>
          <w:p w14:paraId="5CCC7966" w14:textId="77777777" w:rsidR="0004140C" w:rsidRPr="005732FC" w:rsidRDefault="0004140C" w:rsidP="0004140C">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453" w:type="dxa"/>
            <w:tcBorders>
              <w:top w:val="single" w:sz="8" w:space="0" w:color="auto"/>
              <w:left w:val="nil"/>
              <w:bottom w:val="single" w:sz="4" w:space="0" w:color="auto"/>
              <w:right w:val="nil"/>
            </w:tcBorders>
            <w:shd w:val="clear" w:color="000000" w:fill="D9D9D9"/>
            <w:noWrap/>
            <w:vAlign w:val="center"/>
            <w:hideMark/>
          </w:tcPr>
          <w:p w14:paraId="2B5A2A2E" w14:textId="77777777" w:rsidR="0004140C" w:rsidRPr="005732FC" w:rsidRDefault="0004140C" w:rsidP="0004140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30 de junio 2025</w:t>
            </w:r>
          </w:p>
        </w:tc>
      </w:tr>
      <w:tr w:rsidR="0004140C" w:rsidRPr="005732FC" w14:paraId="7CEC39B0" w14:textId="77777777" w:rsidTr="008C77A6">
        <w:trPr>
          <w:trHeight w:val="20"/>
        </w:trPr>
        <w:tc>
          <w:tcPr>
            <w:tcW w:w="5060" w:type="dxa"/>
            <w:tcBorders>
              <w:top w:val="single" w:sz="4" w:space="0" w:color="auto"/>
              <w:left w:val="nil"/>
              <w:bottom w:val="nil"/>
              <w:right w:val="nil"/>
            </w:tcBorders>
            <w:shd w:val="clear" w:color="auto" w:fill="auto"/>
            <w:noWrap/>
            <w:vAlign w:val="center"/>
            <w:hideMark/>
          </w:tcPr>
          <w:p w14:paraId="4B2D4DFF" w14:textId="77777777" w:rsidR="0004140C" w:rsidRPr="005732FC" w:rsidRDefault="0004140C" w:rsidP="0004140C">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Servicios Personales</w:t>
            </w:r>
          </w:p>
        </w:tc>
        <w:tc>
          <w:tcPr>
            <w:tcW w:w="2453" w:type="dxa"/>
            <w:tcBorders>
              <w:top w:val="single" w:sz="4" w:space="0" w:color="auto"/>
              <w:left w:val="nil"/>
              <w:bottom w:val="nil"/>
              <w:right w:val="nil"/>
            </w:tcBorders>
            <w:shd w:val="clear" w:color="auto" w:fill="auto"/>
            <w:noWrap/>
            <w:vAlign w:val="center"/>
            <w:hideMark/>
          </w:tcPr>
          <w:p w14:paraId="24160C8D" w14:textId="77777777" w:rsidR="0004140C" w:rsidRPr="005732FC" w:rsidRDefault="0004140C" w:rsidP="0004140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1,461,450,991.33</w:t>
            </w:r>
          </w:p>
        </w:tc>
      </w:tr>
      <w:tr w:rsidR="0004140C" w:rsidRPr="005732FC" w14:paraId="602A5F2B" w14:textId="77777777" w:rsidTr="008C77A6">
        <w:trPr>
          <w:trHeight w:val="20"/>
        </w:trPr>
        <w:tc>
          <w:tcPr>
            <w:tcW w:w="5060" w:type="dxa"/>
            <w:tcBorders>
              <w:top w:val="nil"/>
              <w:left w:val="nil"/>
              <w:bottom w:val="nil"/>
              <w:right w:val="nil"/>
            </w:tcBorders>
            <w:shd w:val="clear" w:color="auto" w:fill="auto"/>
            <w:noWrap/>
            <w:vAlign w:val="center"/>
            <w:hideMark/>
          </w:tcPr>
          <w:p w14:paraId="0D6E052F"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Remuneraciones al Personal de Carácter Permanente</w:t>
            </w:r>
          </w:p>
        </w:tc>
        <w:tc>
          <w:tcPr>
            <w:tcW w:w="2453" w:type="dxa"/>
            <w:tcBorders>
              <w:top w:val="nil"/>
              <w:left w:val="nil"/>
              <w:bottom w:val="nil"/>
              <w:right w:val="nil"/>
            </w:tcBorders>
            <w:shd w:val="clear" w:color="auto" w:fill="auto"/>
            <w:noWrap/>
            <w:hideMark/>
          </w:tcPr>
          <w:p w14:paraId="50C99372"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325,935,975.46</w:t>
            </w:r>
          </w:p>
        </w:tc>
      </w:tr>
      <w:tr w:rsidR="0004140C" w:rsidRPr="005732FC" w14:paraId="766FFAFF" w14:textId="77777777" w:rsidTr="008C77A6">
        <w:trPr>
          <w:trHeight w:val="20"/>
        </w:trPr>
        <w:tc>
          <w:tcPr>
            <w:tcW w:w="5060" w:type="dxa"/>
            <w:tcBorders>
              <w:top w:val="nil"/>
              <w:left w:val="nil"/>
              <w:bottom w:val="nil"/>
              <w:right w:val="nil"/>
            </w:tcBorders>
            <w:shd w:val="clear" w:color="auto" w:fill="auto"/>
            <w:noWrap/>
            <w:vAlign w:val="center"/>
            <w:hideMark/>
          </w:tcPr>
          <w:p w14:paraId="5491DDE5"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Remuneraciones al Personal de Carácter Transitorio</w:t>
            </w:r>
          </w:p>
        </w:tc>
        <w:tc>
          <w:tcPr>
            <w:tcW w:w="2453" w:type="dxa"/>
            <w:tcBorders>
              <w:top w:val="nil"/>
              <w:left w:val="nil"/>
              <w:bottom w:val="nil"/>
              <w:right w:val="nil"/>
            </w:tcBorders>
            <w:shd w:val="clear" w:color="auto" w:fill="auto"/>
            <w:noWrap/>
            <w:hideMark/>
          </w:tcPr>
          <w:p w14:paraId="7AFA7BE5"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148,695,885.99</w:t>
            </w:r>
          </w:p>
        </w:tc>
      </w:tr>
      <w:tr w:rsidR="0004140C" w:rsidRPr="005732FC" w14:paraId="36BDE0BC" w14:textId="77777777" w:rsidTr="008C77A6">
        <w:trPr>
          <w:trHeight w:val="20"/>
        </w:trPr>
        <w:tc>
          <w:tcPr>
            <w:tcW w:w="5060" w:type="dxa"/>
            <w:tcBorders>
              <w:top w:val="nil"/>
              <w:left w:val="nil"/>
              <w:bottom w:val="nil"/>
              <w:right w:val="nil"/>
            </w:tcBorders>
            <w:shd w:val="clear" w:color="auto" w:fill="auto"/>
            <w:noWrap/>
            <w:vAlign w:val="center"/>
            <w:hideMark/>
          </w:tcPr>
          <w:p w14:paraId="40FCFDC0"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Remuneraciones Adicionales y Especiales</w:t>
            </w:r>
          </w:p>
        </w:tc>
        <w:tc>
          <w:tcPr>
            <w:tcW w:w="2453" w:type="dxa"/>
            <w:tcBorders>
              <w:top w:val="nil"/>
              <w:left w:val="nil"/>
              <w:bottom w:val="nil"/>
              <w:right w:val="nil"/>
            </w:tcBorders>
            <w:shd w:val="clear" w:color="auto" w:fill="auto"/>
            <w:noWrap/>
            <w:hideMark/>
          </w:tcPr>
          <w:p w14:paraId="449F84FE"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286,997,656.66</w:t>
            </w:r>
          </w:p>
        </w:tc>
      </w:tr>
      <w:tr w:rsidR="0004140C" w:rsidRPr="005732FC" w14:paraId="1EBF3144" w14:textId="77777777" w:rsidTr="008C77A6">
        <w:trPr>
          <w:trHeight w:val="20"/>
        </w:trPr>
        <w:tc>
          <w:tcPr>
            <w:tcW w:w="5060" w:type="dxa"/>
            <w:tcBorders>
              <w:top w:val="nil"/>
              <w:left w:val="nil"/>
              <w:bottom w:val="nil"/>
              <w:right w:val="nil"/>
            </w:tcBorders>
            <w:shd w:val="clear" w:color="auto" w:fill="auto"/>
            <w:noWrap/>
            <w:vAlign w:val="center"/>
            <w:hideMark/>
          </w:tcPr>
          <w:p w14:paraId="2D636BAF"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Seguridad Social</w:t>
            </w:r>
          </w:p>
        </w:tc>
        <w:tc>
          <w:tcPr>
            <w:tcW w:w="2453" w:type="dxa"/>
            <w:tcBorders>
              <w:top w:val="nil"/>
              <w:left w:val="nil"/>
              <w:bottom w:val="nil"/>
              <w:right w:val="nil"/>
            </w:tcBorders>
            <w:shd w:val="clear" w:color="auto" w:fill="auto"/>
            <w:noWrap/>
            <w:hideMark/>
          </w:tcPr>
          <w:p w14:paraId="5A26D4D1"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204,831,392.82</w:t>
            </w:r>
          </w:p>
        </w:tc>
      </w:tr>
      <w:tr w:rsidR="0004140C" w:rsidRPr="005732FC" w14:paraId="1DBC8E7C" w14:textId="77777777" w:rsidTr="008C77A6">
        <w:trPr>
          <w:trHeight w:val="20"/>
        </w:trPr>
        <w:tc>
          <w:tcPr>
            <w:tcW w:w="5060" w:type="dxa"/>
            <w:tcBorders>
              <w:top w:val="nil"/>
              <w:left w:val="nil"/>
              <w:bottom w:val="nil"/>
              <w:right w:val="nil"/>
            </w:tcBorders>
            <w:shd w:val="clear" w:color="auto" w:fill="auto"/>
            <w:noWrap/>
            <w:vAlign w:val="center"/>
            <w:hideMark/>
          </w:tcPr>
          <w:p w14:paraId="27D1C14A"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Otras Prestaciones Sociales y Económicas</w:t>
            </w:r>
          </w:p>
        </w:tc>
        <w:tc>
          <w:tcPr>
            <w:tcW w:w="2453" w:type="dxa"/>
            <w:tcBorders>
              <w:top w:val="nil"/>
              <w:left w:val="nil"/>
              <w:bottom w:val="nil"/>
              <w:right w:val="nil"/>
            </w:tcBorders>
            <w:shd w:val="clear" w:color="auto" w:fill="auto"/>
            <w:noWrap/>
            <w:hideMark/>
          </w:tcPr>
          <w:p w14:paraId="34F10794"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484,395,218.98</w:t>
            </w:r>
          </w:p>
        </w:tc>
      </w:tr>
      <w:tr w:rsidR="0004140C" w:rsidRPr="005732FC" w14:paraId="21C0F57A" w14:textId="77777777" w:rsidTr="008C77A6">
        <w:trPr>
          <w:trHeight w:val="20"/>
        </w:trPr>
        <w:tc>
          <w:tcPr>
            <w:tcW w:w="5060" w:type="dxa"/>
            <w:tcBorders>
              <w:top w:val="nil"/>
              <w:left w:val="nil"/>
              <w:bottom w:val="nil"/>
              <w:right w:val="nil"/>
            </w:tcBorders>
            <w:shd w:val="clear" w:color="auto" w:fill="auto"/>
            <w:noWrap/>
            <w:vAlign w:val="center"/>
            <w:hideMark/>
          </w:tcPr>
          <w:p w14:paraId="65B2FD17"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Pago de Estímulos a Servidores Públicos</w:t>
            </w:r>
          </w:p>
        </w:tc>
        <w:tc>
          <w:tcPr>
            <w:tcW w:w="2453" w:type="dxa"/>
            <w:tcBorders>
              <w:top w:val="nil"/>
              <w:left w:val="nil"/>
              <w:bottom w:val="nil"/>
              <w:right w:val="nil"/>
            </w:tcBorders>
            <w:shd w:val="clear" w:color="auto" w:fill="auto"/>
            <w:noWrap/>
            <w:hideMark/>
          </w:tcPr>
          <w:p w14:paraId="1EA45797"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10,594,861.42</w:t>
            </w:r>
          </w:p>
        </w:tc>
      </w:tr>
      <w:tr w:rsidR="0004140C" w:rsidRPr="005732FC" w14:paraId="076D00E5" w14:textId="77777777" w:rsidTr="008C77A6">
        <w:trPr>
          <w:trHeight w:val="20"/>
        </w:trPr>
        <w:tc>
          <w:tcPr>
            <w:tcW w:w="5060" w:type="dxa"/>
            <w:tcBorders>
              <w:top w:val="nil"/>
              <w:left w:val="nil"/>
              <w:bottom w:val="nil"/>
              <w:right w:val="nil"/>
            </w:tcBorders>
            <w:shd w:val="clear" w:color="auto" w:fill="auto"/>
            <w:noWrap/>
            <w:vAlign w:val="center"/>
            <w:hideMark/>
          </w:tcPr>
          <w:p w14:paraId="029616F3" w14:textId="77777777" w:rsidR="0004140C" w:rsidRPr="005732FC" w:rsidRDefault="0004140C" w:rsidP="0004140C">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Materiales y Suministros</w:t>
            </w:r>
          </w:p>
        </w:tc>
        <w:tc>
          <w:tcPr>
            <w:tcW w:w="2453" w:type="dxa"/>
            <w:tcBorders>
              <w:top w:val="nil"/>
              <w:left w:val="nil"/>
              <w:bottom w:val="nil"/>
              <w:right w:val="nil"/>
            </w:tcBorders>
            <w:shd w:val="clear" w:color="auto" w:fill="auto"/>
            <w:noWrap/>
            <w:vAlign w:val="center"/>
            <w:hideMark/>
          </w:tcPr>
          <w:p w14:paraId="52FB22A5" w14:textId="77777777" w:rsidR="0004140C" w:rsidRPr="005732FC" w:rsidRDefault="0004140C" w:rsidP="0004140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92,202,573.23</w:t>
            </w:r>
          </w:p>
        </w:tc>
      </w:tr>
      <w:tr w:rsidR="0004140C" w:rsidRPr="005732FC" w14:paraId="785F00B8" w14:textId="77777777" w:rsidTr="008C77A6">
        <w:trPr>
          <w:trHeight w:val="20"/>
        </w:trPr>
        <w:tc>
          <w:tcPr>
            <w:tcW w:w="5060" w:type="dxa"/>
            <w:tcBorders>
              <w:top w:val="nil"/>
              <w:left w:val="nil"/>
              <w:bottom w:val="nil"/>
              <w:right w:val="nil"/>
            </w:tcBorders>
            <w:shd w:val="clear" w:color="auto" w:fill="auto"/>
            <w:vAlign w:val="center"/>
            <w:hideMark/>
          </w:tcPr>
          <w:p w14:paraId="7BC7F95A"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Materiales de Administración, Emisión de Documentos y Artículos Oficiales</w:t>
            </w:r>
          </w:p>
        </w:tc>
        <w:tc>
          <w:tcPr>
            <w:tcW w:w="2453" w:type="dxa"/>
            <w:tcBorders>
              <w:top w:val="nil"/>
              <w:left w:val="nil"/>
              <w:bottom w:val="nil"/>
              <w:right w:val="nil"/>
            </w:tcBorders>
            <w:shd w:val="clear" w:color="auto" w:fill="auto"/>
            <w:noWrap/>
            <w:hideMark/>
          </w:tcPr>
          <w:p w14:paraId="41B5D952"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7,806,933.40</w:t>
            </w:r>
          </w:p>
        </w:tc>
      </w:tr>
      <w:tr w:rsidR="0004140C" w:rsidRPr="005732FC" w14:paraId="3F307476" w14:textId="77777777" w:rsidTr="008C77A6">
        <w:trPr>
          <w:trHeight w:val="20"/>
        </w:trPr>
        <w:tc>
          <w:tcPr>
            <w:tcW w:w="5060" w:type="dxa"/>
            <w:tcBorders>
              <w:top w:val="nil"/>
              <w:left w:val="nil"/>
              <w:bottom w:val="nil"/>
              <w:right w:val="nil"/>
            </w:tcBorders>
            <w:shd w:val="clear" w:color="auto" w:fill="auto"/>
            <w:noWrap/>
            <w:vAlign w:val="center"/>
            <w:hideMark/>
          </w:tcPr>
          <w:p w14:paraId="6FAB7C31"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Alimentos y Utensilios</w:t>
            </w:r>
          </w:p>
        </w:tc>
        <w:tc>
          <w:tcPr>
            <w:tcW w:w="2453" w:type="dxa"/>
            <w:tcBorders>
              <w:top w:val="nil"/>
              <w:left w:val="nil"/>
              <w:bottom w:val="nil"/>
              <w:right w:val="nil"/>
            </w:tcBorders>
            <w:shd w:val="clear" w:color="auto" w:fill="auto"/>
            <w:noWrap/>
            <w:hideMark/>
          </w:tcPr>
          <w:p w14:paraId="20C84CA1"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5,194,466.49</w:t>
            </w:r>
          </w:p>
        </w:tc>
      </w:tr>
      <w:tr w:rsidR="0004140C" w:rsidRPr="005732FC" w14:paraId="0C102F98" w14:textId="77777777" w:rsidTr="008C77A6">
        <w:trPr>
          <w:trHeight w:val="20"/>
        </w:trPr>
        <w:tc>
          <w:tcPr>
            <w:tcW w:w="5060" w:type="dxa"/>
            <w:tcBorders>
              <w:top w:val="nil"/>
              <w:left w:val="nil"/>
              <w:bottom w:val="nil"/>
              <w:right w:val="nil"/>
            </w:tcBorders>
            <w:shd w:val="clear" w:color="auto" w:fill="auto"/>
            <w:vAlign w:val="center"/>
            <w:hideMark/>
          </w:tcPr>
          <w:p w14:paraId="40F0A0A5"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Materias Primas y Materiales de Producción y Comercialización</w:t>
            </w:r>
          </w:p>
        </w:tc>
        <w:tc>
          <w:tcPr>
            <w:tcW w:w="2453" w:type="dxa"/>
            <w:tcBorders>
              <w:top w:val="nil"/>
              <w:left w:val="nil"/>
              <w:bottom w:val="nil"/>
              <w:right w:val="nil"/>
            </w:tcBorders>
            <w:shd w:val="clear" w:color="auto" w:fill="auto"/>
            <w:hideMark/>
          </w:tcPr>
          <w:p w14:paraId="6A4FA23F" w14:textId="21B1BA52"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984</w:t>
            </w:r>
            <w:r w:rsidR="00907389" w:rsidRPr="005732FC">
              <w:rPr>
                <w:rFonts w:ascii="Arial" w:hAnsi="Arial" w:cs="Arial"/>
                <w:sz w:val="20"/>
                <w:szCs w:val="20"/>
              </w:rPr>
              <w:t>.00</w:t>
            </w:r>
          </w:p>
        </w:tc>
      </w:tr>
      <w:tr w:rsidR="0004140C" w:rsidRPr="005732FC" w14:paraId="0AB6B0A3" w14:textId="77777777" w:rsidTr="008C77A6">
        <w:trPr>
          <w:trHeight w:val="20"/>
        </w:trPr>
        <w:tc>
          <w:tcPr>
            <w:tcW w:w="5060" w:type="dxa"/>
            <w:tcBorders>
              <w:top w:val="nil"/>
              <w:left w:val="nil"/>
              <w:bottom w:val="nil"/>
              <w:right w:val="nil"/>
            </w:tcBorders>
            <w:shd w:val="clear" w:color="auto" w:fill="auto"/>
            <w:noWrap/>
            <w:vAlign w:val="center"/>
            <w:hideMark/>
          </w:tcPr>
          <w:p w14:paraId="63FE927D"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Materiales y Artículos de Construcción y de Reparación</w:t>
            </w:r>
          </w:p>
        </w:tc>
        <w:tc>
          <w:tcPr>
            <w:tcW w:w="2453" w:type="dxa"/>
            <w:tcBorders>
              <w:top w:val="nil"/>
              <w:left w:val="nil"/>
              <w:bottom w:val="nil"/>
              <w:right w:val="nil"/>
            </w:tcBorders>
            <w:shd w:val="clear" w:color="auto" w:fill="auto"/>
            <w:noWrap/>
            <w:hideMark/>
          </w:tcPr>
          <w:p w14:paraId="3846AF0F"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20,692,532.94</w:t>
            </w:r>
          </w:p>
        </w:tc>
      </w:tr>
      <w:tr w:rsidR="0004140C" w:rsidRPr="005732FC" w14:paraId="7AA094CD" w14:textId="77777777" w:rsidTr="008C77A6">
        <w:trPr>
          <w:trHeight w:val="20"/>
        </w:trPr>
        <w:tc>
          <w:tcPr>
            <w:tcW w:w="5060" w:type="dxa"/>
            <w:tcBorders>
              <w:top w:val="nil"/>
              <w:left w:val="nil"/>
              <w:bottom w:val="nil"/>
              <w:right w:val="nil"/>
            </w:tcBorders>
            <w:shd w:val="clear" w:color="auto" w:fill="auto"/>
            <w:noWrap/>
            <w:vAlign w:val="center"/>
            <w:hideMark/>
          </w:tcPr>
          <w:p w14:paraId="1DA31D0E"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Productos Químicos, Farmacéuticos y de Laboratorio</w:t>
            </w:r>
          </w:p>
        </w:tc>
        <w:tc>
          <w:tcPr>
            <w:tcW w:w="2453" w:type="dxa"/>
            <w:tcBorders>
              <w:top w:val="nil"/>
              <w:left w:val="nil"/>
              <w:bottom w:val="nil"/>
              <w:right w:val="nil"/>
            </w:tcBorders>
            <w:shd w:val="clear" w:color="auto" w:fill="auto"/>
            <w:hideMark/>
          </w:tcPr>
          <w:p w14:paraId="159E72A3"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29,040.10</w:t>
            </w:r>
          </w:p>
        </w:tc>
      </w:tr>
      <w:tr w:rsidR="0004140C" w:rsidRPr="005732FC" w14:paraId="00CE6461" w14:textId="77777777" w:rsidTr="008C77A6">
        <w:trPr>
          <w:trHeight w:val="20"/>
        </w:trPr>
        <w:tc>
          <w:tcPr>
            <w:tcW w:w="5060" w:type="dxa"/>
            <w:tcBorders>
              <w:top w:val="nil"/>
              <w:left w:val="nil"/>
              <w:bottom w:val="nil"/>
              <w:right w:val="nil"/>
            </w:tcBorders>
            <w:shd w:val="clear" w:color="auto" w:fill="auto"/>
            <w:noWrap/>
            <w:vAlign w:val="center"/>
            <w:hideMark/>
          </w:tcPr>
          <w:p w14:paraId="7D798883"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Combustibles, Lubricantes y Aditivos</w:t>
            </w:r>
          </w:p>
        </w:tc>
        <w:tc>
          <w:tcPr>
            <w:tcW w:w="2453" w:type="dxa"/>
            <w:tcBorders>
              <w:top w:val="nil"/>
              <w:left w:val="nil"/>
              <w:bottom w:val="nil"/>
              <w:right w:val="nil"/>
            </w:tcBorders>
            <w:shd w:val="clear" w:color="auto" w:fill="auto"/>
            <w:noWrap/>
          </w:tcPr>
          <w:p w14:paraId="3A76F629"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57,096,934.35</w:t>
            </w:r>
          </w:p>
        </w:tc>
      </w:tr>
      <w:tr w:rsidR="0004140C" w:rsidRPr="005732FC" w14:paraId="2203EB75" w14:textId="77777777" w:rsidTr="008C77A6">
        <w:trPr>
          <w:trHeight w:val="20"/>
        </w:trPr>
        <w:tc>
          <w:tcPr>
            <w:tcW w:w="5060" w:type="dxa"/>
            <w:tcBorders>
              <w:top w:val="nil"/>
              <w:left w:val="nil"/>
              <w:bottom w:val="nil"/>
              <w:right w:val="nil"/>
            </w:tcBorders>
            <w:shd w:val="clear" w:color="auto" w:fill="auto"/>
            <w:vAlign w:val="center"/>
            <w:hideMark/>
          </w:tcPr>
          <w:p w14:paraId="08ED9CC8"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Vestuario, Blancos, Prendas de Protección y Artículos Deportivos</w:t>
            </w:r>
          </w:p>
        </w:tc>
        <w:tc>
          <w:tcPr>
            <w:tcW w:w="2453" w:type="dxa"/>
            <w:tcBorders>
              <w:top w:val="nil"/>
              <w:left w:val="nil"/>
              <w:bottom w:val="nil"/>
              <w:right w:val="nil"/>
            </w:tcBorders>
            <w:shd w:val="clear" w:color="auto" w:fill="auto"/>
          </w:tcPr>
          <w:p w14:paraId="1EA45956"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335,894.07</w:t>
            </w:r>
          </w:p>
        </w:tc>
      </w:tr>
      <w:tr w:rsidR="0004140C" w:rsidRPr="005732FC" w14:paraId="2D857D7C" w14:textId="77777777" w:rsidTr="008C77A6">
        <w:trPr>
          <w:trHeight w:val="20"/>
        </w:trPr>
        <w:tc>
          <w:tcPr>
            <w:tcW w:w="5060" w:type="dxa"/>
            <w:tcBorders>
              <w:top w:val="nil"/>
              <w:left w:val="nil"/>
              <w:bottom w:val="nil"/>
              <w:right w:val="nil"/>
            </w:tcBorders>
            <w:shd w:val="clear" w:color="auto" w:fill="auto"/>
            <w:noWrap/>
            <w:vAlign w:val="center"/>
            <w:hideMark/>
          </w:tcPr>
          <w:p w14:paraId="0B6CB3F9"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Materiales y Suministros para Seguridad</w:t>
            </w:r>
          </w:p>
        </w:tc>
        <w:tc>
          <w:tcPr>
            <w:tcW w:w="2453" w:type="dxa"/>
            <w:tcBorders>
              <w:top w:val="nil"/>
              <w:left w:val="nil"/>
              <w:bottom w:val="nil"/>
              <w:right w:val="nil"/>
            </w:tcBorders>
            <w:shd w:val="clear" w:color="auto" w:fill="auto"/>
          </w:tcPr>
          <w:p w14:paraId="644105B9" w14:textId="7F4EF06C"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0</w:t>
            </w:r>
            <w:r w:rsidR="00907389" w:rsidRPr="005732FC">
              <w:rPr>
                <w:rFonts w:ascii="Arial" w:hAnsi="Arial" w:cs="Arial"/>
                <w:sz w:val="20"/>
                <w:szCs w:val="20"/>
              </w:rPr>
              <w:t>.00</w:t>
            </w:r>
          </w:p>
        </w:tc>
      </w:tr>
      <w:tr w:rsidR="0004140C" w:rsidRPr="005732FC" w14:paraId="4CAD21B2" w14:textId="77777777" w:rsidTr="008C77A6">
        <w:trPr>
          <w:trHeight w:val="20"/>
        </w:trPr>
        <w:tc>
          <w:tcPr>
            <w:tcW w:w="5060" w:type="dxa"/>
            <w:tcBorders>
              <w:top w:val="nil"/>
              <w:left w:val="nil"/>
              <w:bottom w:val="nil"/>
              <w:right w:val="nil"/>
            </w:tcBorders>
            <w:shd w:val="clear" w:color="auto" w:fill="auto"/>
            <w:noWrap/>
            <w:vAlign w:val="center"/>
            <w:hideMark/>
          </w:tcPr>
          <w:p w14:paraId="752BD629"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Herramientas, Refacciones y Accesorios Menores</w:t>
            </w:r>
          </w:p>
        </w:tc>
        <w:tc>
          <w:tcPr>
            <w:tcW w:w="2453" w:type="dxa"/>
            <w:tcBorders>
              <w:top w:val="nil"/>
              <w:left w:val="nil"/>
              <w:bottom w:val="nil"/>
              <w:right w:val="nil"/>
            </w:tcBorders>
            <w:shd w:val="clear" w:color="auto" w:fill="auto"/>
            <w:noWrap/>
          </w:tcPr>
          <w:p w14:paraId="2DC3D41D"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1,045,787.88</w:t>
            </w:r>
          </w:p>
        </w:tc>
      </w:tr>
      <w:tr w:rsidR="0004140C" w:rsidRPr="005732FC" w14:paraId="6AE3D382" w14:textId="77777777" w:rsidTr="008C77A6">
        <w:trPr>
          <w:trHeight w:val="20"/>
        </w:trPr>
        <w:tc>
          <w:tcPr>
            <w:tcW w:w="5060" w:type="dxa"/>
            <w:tcBorders>
              <w:top w:val="nil"/>
              <w:left w:val="nil"/>
              <w:bottom w:val="nil"/>
              <w:right w:val="nil"/>
            </w:tcBorders>
            <w:shd w:val="clear" w:color="auto" w:fill="auto"/>
            <w:noWrap/>
            <w:vAlign w:val="center"/>
            <w:hideMark/>
          </w:tcPr>
          <w:p w14:paraId="28F2763E" w14:textId="77777777" w:rsidR="0004140C" w:rsidRPr="005732FC" w:rsidRDefault="0004140C" w:rsidP="0004140C">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Servicios Generales</w:t>
            </w:r>
          </w:p>
        </w:tc>
        <w:tc>
          <w:tcPr>
            <w:tcW w:w="2453" w:type="dxa"/>
            <w:tcBorders>
              <w:top w:val="nil"/>
              <w:left w:val="nil"/>
              <w:bottom w:val="nil"/>
              <w:right w:val="nil"/>
            </w:tcBorders>
            <w:shd w:val="clear" w:color="auto" w:fill="auto"/>
            <w:noWrap/>
            <w:vAlign w:val="center"/>
            <w:hideMark/>
          </w:tcPr>
          <w:p w14:paraId="78AEF46C" w14:textId="41EFDA46" w:rsidR="0004140C" w:rsidRPr="005732FC" w:rsidRDefault="0004140C" w:rsidP="0004140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62</w:t>
            </w:r>
            <w:r w:rsidR="00907389" w:rsidRPr="005732FC">
              <w:rPr>
                <w:rFonts w:ascii="Arial" w:eastAsia="Times New Roman" w:hAnsi="Arial" w:cs="Arial"/>
                <w:b/>
                <w:bCs/>
                <w:color w:val="000000"/>
                <w:kern w:val="0"/>
                <w:sz w:val="20"/>
                <w:szCs w:val="20"/>
                <w:lang w:eastAsia="es-MX"/>
                <w14:ligatures w14:val="none"/>
              </w:rPr>
              <w:t>8</w:t>
            </w:r>
            <w:r w:rsidRPr="005732FC">
              <w:rPr>
                <w:rFonts w:ascii="Arial" w:eastAsia="Times New Roman" w:hAnsi="Arial" w:cs="Arial"/>
                <w:b/>
                <w:bCs/>
                <w:color w:val="000000"/>
                <w:kern w:val="0"/>
                <w:sz w:val="20"/>
                <w:szCs w:val="20"/>
                <w:lang w:eastAsia="es-MX"/>
                <w14:ligatures w14:val="none"/>
              </w:rPr>
              <w:t>,3</w:t>
            </w:r>
            <w:r w:rsidR="00907389" w:rsidRPr="005732FC">
              <w:rPr>
                <w:rFonts w:ascii="Arial" w:eastAsia="Times New Roman" w:hAnsi="Arial" w:cs="Arial"/>
                <w:b/>
                <w:bCs/>
                <w:color w:val="000000"/>
                <w:kern w:val="0"/>
                <w:sz w:val="20"/>
                <w:szCs w:val="20"/>
                <w:lang w:eastAsia="es-MX"/>
                <w14:ligatures w14:val="none"/>
              </w:rPr>
              <w:t>09</w:t>
            </w:r>
            <w:r w:rsidRPr="005732FC">
              <w:rPr>
                <w:rFonts w:ascii="Arial" w:eastAsia="Times New Roman" w:hAnsi="Arial" w:cs="Arial"/>
                <w:b/>
                <w:bCs/>
                <w:color w:val="000000"/>
                <w:kern w:val="0"/>
                <w:sz w:val="20"/>
                <w:szCs w:val="20"/>
                <w:lang w:eastAsia="es-MX"/>
                <w14:ligatures w14:val="none"/>
              </w:rPr>
              <w:t>,</w:t>
            </w:r>
            <w:r w:rsidR="00907389" w:rsidRPr="005732FC">
              <w:rPr>
                <w:rFonts w:ascii="Arial" w:eastAsia="Times New Roman" w:hAnsi="Arial" w:cs="Arial"/>
                <w:b/>
                <w:bCs/>
                <w:color w:val="000000"/>
                <w:kern w:val="0"/>
                <w:sz w:val="20"/>
                <w:szCs w:val="20"/>
                <w:lang w:eastAsia="es-MX"/>
                <w14:ligatures w14:val="none"/>
              </w:rPr>
              <w:t>986</w:t>
            </w:r>
            <w:r w:rsidRPr="005732FC">
              <w:rPr>
                <w:rFonts w:ascii="Arial" w:eastAsia="Times New Roman" w:hAnsi="Arial" w:cs="Arial"/>
                <w:b/>
                <w:bCs/>
                <w:color w:val="000000"/>
                <w:kern w:val="0"/>
                <w:sz w:val="20"/>
                <w:szCs w:val="20"/>
                <w:lang w:eastAsia="es-MX"/>
                <w14:ligatures w14:val="none"/>
              </w:rPr>
              <w:t>.</w:t>
            </w:r>
            <w:r w:rsidR="00907389" w:rsidRPr="005732FC">
              <w:rPr>
                <w:rFonts w:ascii="Arial" w:eastAsia="Times New Roman" w:hAnsi="Arial" w:cs="Arial"/>
                <w:b/>
                <w:bCs/>
                <w:color w:val="000000"/>
                <w:kern w:val="0"/>
                <w:sz w:val="20"/>
                <w:szCs w:val="20"/>
                <w:lang w:eastAsia="es-MX"/>
                <w14:ligatures w14:val="none"/>
              </w:rPr>
              <w:t>7</w:t>
            </w:r>
            <w:r w:rsidRPr="005732FC">
              <w:rPr>
                <w:rFonts w:ascii="Arial" w:eastAsia="Times New Roman" w:hAnsi="Arial" w:cs="Arial"/>
                <w:b/>
                <w:bCs/>
                <w:color w:val="000000"/>
                <w:kern w:val="0"/>
                <w:sz w:val="20"/>
                <w:szCs w:val="20"/>
                <w:lang w:eastAsia="es-MX"/>
                <w14:ligatures w14:val="none"/>
              </w:rPr>
              <w:t>7</w:t>
            </w:r>
          </w:p>
        </w:tc>
      </w:tr>
      <w:tr w:rsidR="0004140C" w:rsidRPr="005732FC" w14:paraId="726F0CDC" w14:textId="77777777" w:rsidTr="008C77A6">
        <w:trPr>
          <w:trHeight w:val="20"/>
        </w:trPr>
        <w:tc>
          <w:tcPr>
            <w:tcW w:w="5060" w:type="dxa"/>
            <w:tcBorders>
              <w:top w:val="nil"/>
              <w:left w:val="nil"/>
              <w:bottom w:val="nil"/>
              <w:right w:val="nil"/>
            </w:tcBorders>
            <w:shd w:val="clear" w:color="auto" w:fill="auto"/>
            <w:noWrap/>
            <w:vAlign w:val="center"/>
            <w:hideMark/>
          </w:tcPr>
          <w:p w14:paraId="4136213B"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Servicios Básicos</w:t>
            </w:r>
          </w:p>
        </w:tc>
        <w:tc>
          <w:tcPr>
            <w:tcW w:w="2453" w:type="dxa"/>
            <w:tcBorders>
              <w:top w:val="nil"/>
              <w:left w:val="nil"/>
              <w:bottom w:val="nil"/>
              <w:right w:val="nil"/>
            </w:tcBorders>
            <w:shd w:val="clear" w:color="auto" w:fill="auto"/>
            <w:noWrap/>
            <w:hideMark/>
          </w:tcPr>
          <w:p w14:paraId="54A5A9C7"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72,406,624.07</w:t>
            </w:r>
          </w:p>
        </w:tc>
      </w:tr>
      <w:tr w:rsidR="0004140C" w:rsidRPr="005732FC" w14:paraId="52C62594" w14:textId="77777777" w:rsidTr="008C77A6">
        <w:trPr>
          <w:trHeight w:val="20"/>
        </w:trPr>
        <w:tc>
          <w:tcPr>
            <w:tcW w:w="5060" w:type="dxa"/>
            <w:tcBorders>
              <w:top w:val="nil"/>
              <w:left w:val="nil"/>
              <w:bottom w:val="nil"/>
              <w:right w:val="nil"/>
            </w:tcBorders>
            <w:shd w:val="clear" w:color="auto" w:fill="auto"/>
            <w:noWrap/>
            <w:vAlign w:val="center"/>
            <w:hideMark/>
          </w:tcPr>
          <w:p w14:paraId="294D3E66"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Servicios de Arrendamiento</w:t>
            </w:r>
          </w:p>
        </w:tc>
        <w:tc>
          <w:tcPr>
            <w:tcW w:w="2453" w:type="dxa"/>
            <w:tcBorders>
              <w:top w:val="nil"/>
              <w:left w:val="nil"/>
              <w:bottom w:val="nil"/>
              <w:right w:val="nil"/>
            </w:tcBorders>
            <w:shd w:val="clear" w:color="auto" w:fill="auto"/>
            <w:noWrap/>
            <w:hideMark/>
          </w:tcPr>
          <w:p w14:paraId="135F86E1"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162,864,900.73</w:t>
            </w:r>
          </w:p>
        </w:tc>
      </w:tr>
      <w:tr w:rsidR="0004140C" w:rsidRPr="005732FC" w14:paraId="34436322" w14:textId="77777777" w:rsidTr="008C77A6">
        <w:trPr>
          <w:trHeight w:val="20"/>
        </w:trPr>
        <w:tc>
          <w:tcPr>
            <w:tcW w:w="5060" w:type="dxa"/>
            <w:tcBorders>
              <w:top w:val="nil"/>
              <w:left w:val="nil"/>
              <w:bottom w:val="nil"/>
              <w:right w:val="nil"/>
            </w:tcBorders>
            <w:shd w:val="clear" w:color="auto" w:fill="auto"/>
            <w:vAlign w:val="center"/>
            <w:hideMark/>
          </w:tcPr>
          <w:p w14:paraId="169C6F51"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Servicios Profesionales, Científicos y Técnicos y Otros Servicios</w:t>
            </w:r>
          </w:p>
        </w:tc>
        <w:tc>
          <w:tcPr>
            <w:tcW w:w="2453" w:type="dxa"/>
            <w:tcBorders>
              <w:top w:val="nil"/>
              <w:left w:val="nil"/>
              <w:bottom w:val="nil"/>
              <w:right w:val="nil"/>
            </w:tcBorders>
            <w:shd w:val="clear" w:color="auto" w:fill="auto"/>
            <w:noWrap/>
            <w:hideMark/>
          </w:tcPr>
          <w:p w14:paraId="0A673405"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63,144,589.12</w:t>
            </w:r>
          </w:p>
        </w:tc>
      </w:tr>
      <w:tr w:rsidR="0004140C" w:rsidRPr="005732FC" w14:paraId="779B0819" w14:textId="77777777" w:rsidTr="008C77A6">
        <w:trPr>
          <w:trHeight w:val="20"/>
        </w:trPr>
        <w:tc>
          <w:tcPr>
            <w:tcW w:w="5060" w:type="dxa"/>
            <w:tcBorders>
              <w:top w:val="nil"/>
              <w:left w:val="nil"/>
              <w:bottom w:val="nil"/>
              <w:right w:val="nil"/>
            </w:tcBorders>
            <w:shd w:val="clear" w:color="auto" w:fill="auto"/>
            <w:noWrap/>
            <w:vAlign w:val="center"/>
            <w:hideMark/>
          </w:tcPr>
          <w:p w14:paraId="183ED57D"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Servicios Financieros, Bancarios y Comerciales</w:t>
            </w:r>
          </w:p>
        </w:tc>
        <w:tc>
          <w:tcPr>
            <w:tcW w:w="2453" w:type="dxa"/>
            <w:tcBorders>
              <w:top w:val="nil"/>
              <w:left w:val="nil"/>
              <w:bottom w:val="nil"/>
              <w:right w:val="nil"/>
            </w:tcBorders>
            <w:shd w:val="clear" w:color="auto" w:fill="auto"/>
            <w:noWrap/>
            <w:hideMark/>
          </w:tcPr>
          <w:p w14:paraId="3D90D07C"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31,380,542.02</w:t>
            </w:r>
          </w:p>
        </w:tc>
      </w:tr>
      <w:tr w:rsidR="0004140C" w:rsidRPr="005732FC" w14:paraId="121BF6D9" w14:textId="77777777" w:rsidTr="008C77A6">
        <w:trPr>
          <w:trHeight w:val="20"/>
        </w:trPr>
        <w:tc>
          <w:tcPr>
            <w:tcW w:w="5060" w:type="dxa"/>
            <w:tcBorders>
              <w:top w:val="nil"/>
              <w:left w:val="nil"/>
              <w:bottom w:val="nil"/>
              <w:right w:val="nil"/>
            </w:tcBorders>
            <w:shd w:val="clear" w:color="auto" w:fill="auto"/>
            <w:vAlign w:val="center"/>
            <w:hideMark/>
          </w:tcPr>
          <w:p w14:paraId="1192AC3C"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Servicios de Instalación, Reparación, Mantenimiento y Conservación</w:t>
            </w:r>
          </w:p>
        </w:tc>
        <w:tc>
          <w:tcPr>
            <w:tcW w:w="2453" w:type="dxa"/>
            <w:tcBorders>
              <w:top w:val="nil"/>
              <w:left w:val="nil"/>
              <w:bottom w:val="nil"/>
              <w:right w:val="nil"/>
            </w:tcBorders>
            <w:shd w:val="clear" w:color="auto" w:fill="auto"/>
            <w:noWrap/>
            <w:hideMark/>
          </w:tcPr>
          <w:p w14:paraId="42E624BB" w14:textId="49737753" w:rsidR="0004140C" w:rsidRPr="005732FC" w:rsidRDefault="00907389" w:rsidP="0004140C">
            <w:pPr>
              <w:spacing w:after="0" w:line="240" w:lineRule="auto"/>
              <w:jc w:val="right"/>
              <w:rPr>
                <w:rFonts w:ascii="Arial" w:hAnsi="Arial" w:cs="Arial"/>
                <w:sz w:val="20"/>
                <w:szCs w:val="20"/>
              </w:rPr>
            </w:pPr>
            <w:r w:rsidRPr="005732FC">
              <w:rPr>
                <w:rFonts w:ascii="Arial" w:hAnsi="Arial" w:cs="Arial"/>
                <w:sz w:val="20"/>
                <w:szCs w:val="20"/>
              </w:rPr>
              <w:t>183,037,167.38</w:t>
            </w:r>
          </w:p>
        </w:tc>
      </w:tr>
      <w:tr w:rsidR="0004140C" w:rsidRPr="005732FC" w14:paraId="429686C8" w14:textId="77777777" w:rsidTr="008C77A6">
        <w:trPr>
          <w:trHeight w:val="20"/>
        </w:trPr>
        <w:tc>
          <w:tcPr>
            <w:tcW w:w="5060" w:type="dxa"/>
            <w:tcBorders>
              <w:top w:val="nil"/>
              <w:left w:val="nil"/>
              <w:bottom w:val="nil"/>
              <w:right w:val="nil"/>
            </w:tcBorders>
            <w:shd w:val="clear" w:color="auto" w:fill="auto"/>
            <w:noWrap/>
            <w:vAlign w:val="center"/>
            <w:hideMark/>
          </w:tcPr>
          <w:p w14:paraId="55D99F4C"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Servicios de Comunicación Social y Publicidad</w:t>
            </w:r>
          </w:p>
        </w:tc>
        <w:tc>
          <w:tcPr>
            <w:tcW w:w="2453" w:type="dxa"/>
            <w:tcBorders>
              <w:top w:val="nil"/>
              <w:left w:val="nil"/>
              <w:bottom w:val="nil"/>
              <w:right w:val="nil"/>
            </w:tcBorders>
            <w:shd w:val="clear" w:color="auto" w:fill="auto"/>
            <w:hideMark/>
          </w:tcPr>
          <w:p w14:paraId="18C116DB"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58,040,046.92</w:t>
            </w:r>
          </w:p>
        </w:tc>
      </w:tr>
      <w:tr w:rsidR="0004140C" w:rsidRPr="005732FC" w14:paraId="4ACF7CEA" w14:textId="77777777" w:rsidTr="008C77A6">
        <w:trPr>
          <w:trHeight w:val="20"/>
        </w:trPr>
        <w:tc>
          <w:tcPr>
            <w:tcW w:w="5060" w:type="dxa"/>
            <w:tcBorders>
              <w:top w:val="nil"/>
              <w:left w:val="nil"/>
              <w:bottom w:val="nil"/>
              <w:right w:val="nil"/>
            </w:tcBorders>
            <w:shd w:val="clear" w:color="auto" w:fill="auto"/>
            <w:noWrap/>
            <w:vAlign w:val="center"/>
            <w:hideMark/>
          </w:tcPr>
          <w:p w14:paraId="23BD7B7A"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Servicios de Traslado y Viáticos</w:t>
            </w:r>
          </w:p>
        </w:tc>
        <w:tc>
          <w:tcPr>
            <w:tcW w:w="2453" w:type="dxa"/>
            <w:tcBorders>
              <w:top w:val="nil"/>
              <w:left w:val="nil"/>
              <w:bottom w:val="nil"/>
              <w:right w:val="nil"/>
            </w:tcBorders>
            <w:shd w:val="clear" w:color="auto" w:fill="auto"/>
            <w:noWrap/>
            <w:hideMark/>
          </w:tcPr>
          <w:p w14:paraId="3736C279"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1,718,851.79</w:t>
            </w:r>
          </w:p>
        </w:tc>
      </w:tr>
      <w:tr w:rsidR="0004140C" w:rsidRPr="005732FC" w14:paraId="40B7ABD9" w14:textId="77777777" w:rsidTr="008C77A6">
        <w:trPr>
          <w:trHeight w:val="20"/>
        </w:trPr>
        <w:tc>
          <w:tcPr>
            <w:tcW w:w="5060" w:type="dxa"/>
            <w:tcBorders>
              <w:top w:val="nil"/>
              <w:left w:val="nil"/>
              <w:bottom w:val="nil"/>
              <w:right w:val="nil"/>
            </w:tcBorders>
            <w:shd w:val="clear" w:color="auto" w:fill="auto"/>
            <w:noWrap/>
            <w:vAlign w:val="center"/>
            <w:hideMark/>
          </w:tcPr>
          <w:p w14:paraId="14F7F880"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Servicios Oficiales</w:t>
            </w:r>
          </w:p>
        </w:tc>
        <w:tc>
          <w:tcPr>
            <w:tcW w:w="2453" w:type="dxa"/>
            <w:tcBorders>
              <w:top w:val="nil"/>
              <w:left w:val="nil"/>
              <w:bottom w:val="nil"/>
              <w:right w:val="nil"/>
            </w:tcBorders>
            <w:shd w:val="clear" w:color="auto" w:fill="auto"/>
            <w:noWrap/>
            <w:hideMark/>
          </w:tcPr>
          <w:p w14:paraId="0804F1AA"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11,508,184.42</w:t>
            </w:r>
          </w:p>
        </w:tc>
      </w:tr>
      <w:tr w:rsidR="0004140C" w:rsidRPr="005732FC" w14:paraId="797A97D6" w14:textId="77777777" w:rsidTr="008C77A6">
        <w:trPr>
          <w:trHeight w:val="20"/>
        </w:trPr>
        <w:tc>
          <w:tcPr>
            <w:tcW w:w="5060" w:type="dxa"/>
            <w:tcBorders>
              <w:top w:val="nil"/>
              <w:left w:val="nil"/>
              <w:bottom w:val="single" w:sz="8" w:space="0" w:color="auto"/>
              <w:right w:val="nil"/>
            </w:tcBorders>
            <w:shd w:val="clear" w:color="auto" w:fill="auto"/>
            <w:noWrap/>
            <w:vAlign w:val="center"/>
            <w:hideMark/>
          </w:tcPr>
          <w:p w14:paraId="61487A4C" w14:textId="77777777" w:rsidR="0004140C" w:rsidRPr="005732FC" w:rsidRDefault="0004140C" w:rsidP="0004140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Otros Servicios Generales</w:t>
            </w:r>
          </w:p>
        </w:tc>
        <w:tc>
          <w:tcPr>
            <w:tcW w:w="2453" w:type="dxa"/>
            <w:tcBorders>
              <w:top w:val="nil"/>
              <w:left w:val="nil"/>
              <w:bottom w:val="single" w:sz="8" w:space="0" w:color="auto"/>
              <w:right w:val="nil"/>
            </w:tcBorders>
            <w:shd w:val="clear" w:color="auto" w:fill="auto"/>
            <w:noWrap/>
            <w:hideMark/>
          </w:tcPr>
          <w:p w14:paraId="3488A6FA" w14:textId="77777777" w:rsidR="0004140C" w:rsidRPr="005732FC" w:rsidRDefault="0004140C" w:rsidP="0004140C">
            <w:pPr>
              <w:spacing w:after="0" w:line="240" w:lineRule="auto"/>
              <w:jc w:val="right"/>
              <w:rPr>
                <w:rFonts w:ascii="Arial" w:hAnsi="Arial" w:cs="Arial"/>
                <w:sz w:val="20"/>
                <w:szCs w:val="20"/>
              </w:rPr>
            </w:pPr>
            <w:r w:rsidRPr="005732FC">
              <w:rPr>
                <w:rFonts w:ascii="Arial" w:hAnsi="Arial" w:cs="Arial"/>
                <w:sz w:val="20"/>
                <w:szCs w:val="20"/>
              </w:rPr>
              <w:t>44,209,080.32</w:t>
            </w:r>
          </w:p>
        </w:tc>
      </w:tr>
      <w:tr w:rsidR="0004140C" w:rsidRPr="005732FC" w14:paraId="06B3BA66" w14:textId="77777777" w:rsidTr="008C77A6">
        <w:trPr>
          <w:trHeight w:val="20"/>
        </w:trPr>
        <w:tc>
          <w:tcPr>
            <w:tcW w:w="5060" w:type="dxa"/>
            <w:tcBorders>
              <w:top w:val="nil"/>
              <w:left w:val="nil"/>
              <w:bottom w:val="single" w:sz="8" w:space="0" w:color="auto"/>
              <w:right w:val="nil"/>
            </w:tcBorders>
            <w:shd w:val="clear" w:color="000000" w:fill="D9D9D9"/>
            <w:noWrap/>
            <w:vAlign w:val="center"/>
            <w:hideMark/>
          </w:tcPr>
          <w:p w14:paraId="6F1FF6D5" w14:textId="77777777" w:rsidR="0004140C" w:rsidRPr="005732FC" w:rsidRDefault="0004140C" w:rsidP="0004140C">
            <w:pPr>
              <w:spacing w:after="0" w:line="240" w:lineRule="auto"/>
              <w:rPr>
                <w:rFonts w:ascii="Arial" w:eastAsia="Times New Roman" w:hAnsi="Arial" w:cs="Arial"/>
                <w:b/>
                <w:bCs/>
                <w:color w:val="000000"/>
                <w:kern w:val="0"/>
                <w:sz w:val="20"/>
                <w:szCs w:val="20"/>
                <w:lang w:eastAsia="es-MX"/>
                <w14:ligatures w14:val="none"/>
              </w:rPr>
            </w:pPr>
            <w:proofErr w:type="gramStart"/>
            <w:r w:rsidRPr="005732FC">
              <w:rPr>
                <w:rFonts w:ascii="Arial" w:eastAsia="Times New Roman" w:hAnsi="Arial" w:cs="Arial"/>
                <w:b/>
                <w:bCs/>
                <w:color w:val="000000"/>
                <w:kern w:val="0"/>
                <w:sz w:val="20"/>
                <w:szCs w:val="20"/>
                <w:lang w:eastAsia="es-MX"/>
                <w14:ligatures w14:val="none"/>
              </w:rPr>
              <w:t>Total</w:t>
            </w:r>
            <w:proofErr w:type="gramEnd"/>
            <w:r w:rsidRPr="005732FC">
              <w:rPr>
                <w:rFonts w:ascii="Arial" w:eastAsia="Times New Roman" w:hAnsi="Arial" w:cs="Arial"/>
                <w:b/>
                <w:bCs/>
                <w:color w:val="000000"/>
                <w:kern w:val="0"/>
                <w:sz w:val="20"/>
                <w:szCs w:val="20"/>
                <w:lang w:eastAsia="es-MX"/>
                <w14:ligatures w14:val="none"/>
              </w:rPr>
              <w:t xml:space="preserve"> de Gastos de Funcionamiento</w:t>
            </w:r>
          </w:p>
        </w:tc>
        <w:tc>
          <w:tcPr>
            <w:tcW w:w="2453" w:type="dxa"/>
            <w:tcBorders>
              <w:top w:val="nil"/>
              <w:left w:val="nil"/>
              <w:bottom w:val="single" w:sz="8" w:space="0" w:color="auto"/>
              <w:right w:val="nil"/>
            </w:tcBorders>
            <w:shd w:val="clear" w:color="000000" w:fill="D9D9D9"/>
            <w:noWrap/>
            <w:vAlign w:val="center"/>
            <w:hideMark/>
          </w:tcPr>
          <w:p w14:paraId="384D4097" w14:textId="3DF48D59" w:rsidR="0004140C" w:rsidRPr="005732FC" w:rsidRDefault="0004140C" w:rsidP="0004140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2,</w:t>
            </w:r>
            <w:r w:rsidR="00907389" w:rsidRPr="005732FC">
              <w:rPr>
                <w:rFonts w:ascii="Arial" w:eastAsia="Times New Roman" w:hAnsi="Arial" w:cs="Arial"/>
                <w:b/>
                <w:bCs/>
                <w:color w:val="000000"/>
                <w:kern w:val="0"/>
                <w:sz w:val="20"/>
                <w:szCs w:val="20"/>
                <w:lang w:eastAsia="es-MX"/>
                <w14:ligatures w14:val="none"/>
              </w:rPr>
              <w:t>181,963,551.33</w:t>
            </w:r>
          </w:p>
        </w:tc>
      </w:tr>
    </w:tbl>
    <w:p w14:paraId="380290DB" w14:textId="77777777" w:rsidR="0004140C" w:rsidRPr="005732FC" w:rsidRDefault="0004140C" w:rsidP="0004140C">
      <w:pPr>
        <w:rPr>
          <w:rFonts w:ascii="Arial" w:hAnsi="Arial" w:cs="Arial"/>
          <w:sz w:val="20"/>
          <w:szCs w:val="20"/>
        </w:rPr>
      </w:pPr>
    </w:p>
    <w:p w14:paraId="557BE511" w14:textId="77777777" w:rsidR="0004140C" w:rsidRPr="005732FC" w:rsidRDefault="0004140C" w:rsidP="0004140C">
      <w:pPr>
        <w:rPr>
          <w:rFonts w:ascii="Arial" w:hAnsi="Arial" w:cs="Arial"/>
          <w:sz w:val="20"/>
          <w:szCs w:val="20"/>
        </w:rPr>
      </w:pPr>
    </w:p>
    <w:p w14:paraId="0D0FB045" w14:textId="77777777" w:rsidR="0004140C" w:rsidRPr="005732FC" w:rsidRDefault="0004140C" w:rsidP="0004140C">
      <w:pPr>
        <w:rPr>
          <w:rFonts w:ascii="Arial" w:hAnsi="Arial" w:cs="Arial"/>
          <w:sz w:val="20"/>
          <w:szCs w:val="20"/>
        </w:rPr>
      </w:pPr>
    </w:p>
    <w:p w14:paraId="2DE9FA8B" w14:textId="77777777" w:rsidR="0004140C" w:rsidRPr="005732FC" w:rsidRDefault="0004140C" w:rsidP="0004140C">
      <w:pPr>
        <w:rPr>
          <w:rFonts w:ascii="Arial" w:hAnsi="Arial" w:cs="Arial"/>
          <w:sz w:val="20"/>
          <w:szCs w:val="20"/>
        </w:rPr>
      </w:pPr>
    </w:p>
    <w:p w14:paraId="043D782C" w14:textId="77777777" w:rsidR="0004140C" w:rsidRPr="005732FC" w:rsidRDefault="0004140C" w:rsidP="0004140C">
      <w:pPr>
        <w:rPr>
          <w:rFonts w:ascii="Arial" w:hAnsi="Arial" w:cs="Arial"/>
          <w:sz w:val="20"/>
          <w:szCs w:val="20"/>
        </w:rPr>
      </w:pPr>
    </w:p>
    <w:p w14:paraId="4537E303" w14:textId="77777777" w:rsidR="0004140C" w:rsidRPr="005732FC" w:rsidRDefault="0004140C" w:rsidP="0004140C">
      <w:pPr>
        <w:rPr>
          <w:rFonts w:ascii="Arial" w:hAnsi="Arial" w:cs="Arial"/>
          <w:sz w:val="20"/>
          <w:szCs w:val="20"/>
        </w:rPr>
      </w:pPr>
    </w:p>
    <w:p w14:paraId="0C0CB852" w14:textId="77777777" w:rsidR="0004140C" w:rsidRPr="005732FC" w:rsidRDefault="0004140C" w:rsidP="0004140C">
      <w:pPr>
        <w:rPr>
          <w:rFonts w:ascii="Arial" w:hAnsi="Arial" w:cs="Arial"/>
          <w:sz w:val="20"/>
          <w:szCs w:val="20"/>
        </w:rPr>
      </w:pPr>
    </w:p>
    <w:p w14:paraId="5F07C72D" w14:textId="77777777" w:rsidR="0004140C" w:rsidRPr="005732FC" w:rsidRDefault="0004140C" w:rsidP="0004140C">
      <w:pPr>
        <w:rPr>
          <w:rFonts w:ascii="Arial" w:hAnsi="Arial" w:cs="Arial"/>
          <w:sz w:val="20"/>
          <w:szCs w:val="20"/>
        </w:rPr>
      </w:pPr>
    </w:p>
    <w:p w14:paraId="4870FBB0" w14:textId="77777777" w:rsidR="0004140C" w:rsidRPr="005732FC" w:rsidRDefault="0004140C" w:rsidP="0004140C">
      <w:pPr>
        <w:rPr>
          <w:rFonts w:ascii="Arial" w:hAnsi="Arial" w:cs="Arial"/>
          <w:sz w:val="20"/>
          <w:szCs w:val="20"/>
        </w:rPr>
      </w:pPr>
    </w:p>
    <w:p w14:paraId="31746FD2" w14:textId="77777777" w:rsidR="0004140C" w:rsidRPr="005732FC" w:rsidRDefault="0004140C" w:rsidP="0004140C">
      <w:pPr>
        <w:rPr>
          <w:rFonts w:ascii="Arial" w:hAnsi="Arial" w:cs="Arial"/>
          <w:sz w:val="20"/>
          <w:szCs w:val="20"/>
        </w:rPr>
      </w:pPr>
    </w:p>
    <w:p w14:paraId="5AF29FCF" w14:textId="77777777" w:rsidR="0004140C" w:rsidRPr="005732FC" w:rsidRDefault="0004140C" w:rsidP="0004140C">
      <w:pPr>
        <w:rPr>
          <w:rFonts w:ascii="Arial" w:hAnsi="Arial" w:cs="Arial"/>
          <w:sz w:val="20"/>
          <w:szCs w:val="20"/>
        </w:rPr>
      </w:pPr>
    </w:p>
    <w:p w14:paraId="28E99DD8" w14:textId="77777777" w:rsidR="0004140C" w:rsidRPr="005732FC" w:rsidRDefault="0004140C" w:rsidP="0004140C">
      <w:pPr>
        <w:rPr>
          <w:rFonts w:ascii="Arial" w:hAnsi="Arial" w:cs="Arial"/>
          <w:sz w:val="20"/>
          <w:szCs w:val="20"/>
        </w:rPr>
      </w:pPr>
    </w:p>
    <w:p w14:paraId="2559328D" w14:textId="77777777" w:rsidR="0004140C" w:rsidRPr="005732FC" w:rsidRDefault="0004140C" w:rsidP="0004140C">
      <w:pPr>
        <w:rPr>
          <w:rFonts w:ascii="Arial" w:hAnsi="Arial" w:cs="Arial"/>
          <w:sz w:val="20"/>
          <w:szCs w:val="20"/>
        </w:rPr>
      </w:pPr>
    </w:p>
    <w:p w14:paraId="69F4FED9" w14:textId="77777777" w:rsidR="0004140C" w:rsidRPr="005732FC" w:rsidRDefault="0004140C" w:rsidP="00CA65C1">
      <w:pPr>
        <w:rPr>
          <w:rFonts w:ascii="Arial" w:eastAsiaTheme="majorEastAsia" w:hAnsi="Arial" w:cs="Arial"/>
          <w:b/>
          <w:bCs/>
          <w:sz w:val="20"/>
          <w:szCs w:val="20"/>
        </w:rPr>
      </w:pPr>
    </w:p>
    <w:p w14:paraId="76E1AA70" w14:textId="77777777" w:rsidR="0004140C" w:rsidRPr="005732FC" w:rsidRDefault="0004140C" w:rsidP="0004140C"/>
    <w:p w14:paraId="266A766E" w14:textId="77777777" w:rsidR="004E1B49" w:rsidRPr="005732FC" w:rsidRDefault="004E1B49" w:rsidP="004E1B49"/>
    <w:p w14:paraId="4CBA910C" w14:textId="77777777" w:rsidR="0098572F" w:rsidRPr="005732FC" w:rsidRDefault="0098572F" w:rsidP="00CA65C1">
      <w:pPr>
        <w:rPr>
          <w:rFonts w:ascii="Arial" w:eastAsiaTheme="majorEastAsia" w:hAnsi="Arial" w:cs="Arial"/>
          <w:b/>
          <w:bCs/>
          <w:sz w:val="20"/>
          <w:szCs w:val="20"/>
        </w:rPr>
      </w:pPr>
    </w:p>
    <w:p w14:paraId="4620A25F" w14:textId="77777777" w:rsidR="0098572F" w:rsidRPr="005732FC" w:rsidRDefault="0098572F" w:rsidP="00CA65C1">
      <w:pPr>
        <w:rPr>
          <w:rFonts w:ascii="Arial" w:eastAsiaTheme="majorEastAsia" w:hAnsi="Arial" w:cs="Arial"/>
          <w:b/>
          <w:bCs/>
          <w:sz w:val="20"/>
          <w:szCs w:val="20"/>
        </w:rPr>
      </w:pPr>
    </w:p>
    <w:p w14:paraId="00122B7D" w14:textId="77777777" w:rsidR="0098572F" w:rsidRPr="005732FC" w:rsidRDefault="0098572F" w:rsidP="00CA65C1">
      <w:pPr>
        <w:rPr>
          <w:rFonts w:ascii="Arial" w:eastAsiaTheme="majorEastAsia" w:hAnsi="Arial" w:cs="Arial"/>
          <w:b/>
          <w:bCs/>
          <w:sz w:val="20"/>
          <w:szCs w:val="20"/>
        </w:rPr>
      </w:pPr>
    </w:p>
    <w:p w14:paraId="2EB0FAF7" w14:textId="77777777" w:rsidR="0098572F" w:rsidRPr="005732FC" w:rsidRDefault="0098572F" w:rsidP="00CA65C1">
      <w:pPr>
        <w:rPr>
          <w:rFonts w:ascii="Arial" w:eastAsiaTheme="majorEastAsia" w:hAnsi="Arial" w:cs="Arial"/>
          <w:b/>
          <w:bCs/>
          <w:sz w:val="20"/>
          <w:szCs w:val="20"/>
        </w:rPr>
      </w:pPr>
    </w:p>
    <w:p w14:paraId="14A96EB0" w14:textId="77777777" w:rsidR="0098572F" w:rsidRPr="005732FC" w:rsidRDefault="0098572F" w:rsidP="00CA65C1">
      <w:pPr>
        <w:rPr>
          <w:rFonts w:ascii="Arial" w:eastAsiaTheme="majorEastAsia" w:hAnsi="Arial" w:cs="Arial"/>
          <w:b/>
          <w:bCs/>
          <w:sz w:val="20"/>
          <w:szCs w:val="20"/>
        </w:rPr>
      </w:pPr>
    </w:p>
    <w:p w14:paraId="3E03D119" w14:textId="510DACC2" w:rsidR="00595900" w:rsidRPr="005732FC" w:rsidRDefault="00595900" w:rsidP="00595900">
      <w:pPr>
        <w:keepNext/>
        <w:keepLines/>
        <w:spacing w:before="40" w:after="0"/>
        <w:ind w:hanging="284"/>
        <w:outlineLvl w:val="1"/>
        <w:rPr>
          <w:rFonts w:ascii="Arial" w:eastAsiaTheme="majorEastAsia" w:hAnsi="Arial" w:cs="Arial"/>
          <w:color w:val="2F5496" w:themeColor="accent1" w:themeShade="BF"/>
          <w:sz w:val="20"/>
          <w:szCs w:val="20"/>
        </w:rPr>
      </w:pPr>
      <w:r w:rsidRPr="005732FC">
        <w:rPr>
          <w:rFonts w:ascii="Arial" w:eastAsiaTheme="majorEastAsia" w:hAnsi="Arial" w:cs="Arial"/>
          <w:b/>
          <w:bCs/>
          <w:sz w:val="20"/>
          <w:szCs w:val="20"/>
        </w:rPr>
        <w:t>2.2 Transferencias, Asignaciones, Subsidios y Otras Ayudas</w:t>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3379767D" w14:textId="77777777" w:rsidR="00595900" w:rsidRPr="005732FC" w:rsidRDefault="00595900" w:rsidP="00595900">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5C35B0C" w14:textId="77777777" w:rsidR="00595900" w:rsidRPr="005732FC" w:rsidRDefault="00595900" w:rsidP="00595900">
      <w:pPr>
        <w:spacing w:after="0"/>
        <w:jc w:val="both"/>
        <w:rPr>
          <w:rFonts w:ascii="Arial" w:hAnsi="Arial" w:cs="Arial"/>
          <w:sz w:val="20"/>
          <w:szCs w:val="20"/>
        </w:rPr>
      </w:pPr>
      <w:r w:rsidRPr="005732FC">
        <w:rPr>
          <w:rFonts w:ascii="Arial" w:hAnsi="Arial" w:cs="Arial"/>
          <w:sz w:val="20"/>
          <w:szCs w:val="20"/>
        </w:rPr>
        <w:t>Las transferencias, asignaciones, subsidios y otras ayudas comprenden el importe del gasto por las transferencias, asignaciones, subsidios y otras ayudas destinadas en forma directa o indirecta a los sectores público, privado y externo, mismos que se relacionan a continuación:</w:t>
      </w:r>
    </w:p>
    <w:p w14:paraId="4288B9B2" w14:textId="77777777" w:rsidR="00595900" w:rsidRPr="005732FC" w:rsidRDefault="00595900" w:rsidP="00595900">
      <w:pPr>
        <w:spacing w:after="0"/>
        <w:jc w:val="both"/>
        <w:rPr>
          <w:rFonts w:ascii="Arial" w:hAnsi="Arial" w:cs="Arial"/>
          <w:sz w:val="20"/>
          <w:szCs w:val="20"/>
        </w:rPr>
      </w:pPr>
    </w:p>
    <w:tbl>
      <w:tblPr>
        <w:tblW w:w="8222" w:type="dxa"/>
        <w:tblCellMar>
          <w:left w:w="70" w:type="dxa"/>
          <w:right w:w="70" w:type="dxa"/>
        </w:tblCellMar>
        <w:tblLook w:val="04A0" w:firstRow="1" w:lastRow="0" w:firstColumn="1" w:lastColumn="0" w:noHBand="0" w:noVBand="1"/>
      </w:tblPr>
      <w:tblGrid>
        <w:gridCol w:w="2074"/>
        <w:gridCol w:w="1823"/>
        <w:gridCol w:w="1874"/>
        <w:gridCol w:w="2451"/>
      </w:tblGrid>
      <w:tr w:rsidR="00595900" w:rsidRPr="005732FC" w14:paraId="735469C2" w14:textId="77777777" w:rsidTr="00954488">
        <w:trPr>
          <w:trHeight w:val="20"/>
          <w:tblHeader/>
        </w:trPr>
        <w:tc>
          <w:tcPr>
            <w:tcW w:w="5771" w:type="dxa"/>
            <w:gridSpan w:val="3"/>
            <w:tcBorders>
              <w:top w:val="single" w:sz="8" w:space="0" w:color="auto"/>
              <w:left w:val="nil"/>
              <w:bottom w:val="single" w:sz="8" w:space="0" w:color="auto"/>
              <w:right w:val="nil"/>
            </w:tcBorders>
            <w:shd w:val="clear" w:color="000000" w:fill="D9D9D9"/>
            <w:noWrap/>
            <w:vAlign w:val="center"/>
            <w:hideMark/>
          </w:tcPr>
          <w:p w14:paraId="1248AF71" w14:textId="64131F13" w:rsidR="00595900" w:rsidRPr="005732FC" w:rsidRDefault="00595900" w:rsidP="00954488">
            <w:pPr>
              <w:spacing w:after="0" w:line="240" w:lineRule="auto"/>
              <w:jc w:val="center"/>
              <w:rPr>
                <w:rFonts w:ascii="Arial" w:hAnsi="Arial" w:cs="Arial"/>
                <w:b/>
                <w:bCs/>
                <w:sz w:val="20"/>
                <w:szCs w:val="20"/>
                <w:lang w:eastAsia="es-MX"/>
              </w:rPr>
            </w:pPr>
            <w:r w:rsidRPr="005732FC">
              <w:rPr>
                <w:rFonts w:ascii="Arial" w:hAnsi="Arial" w:cs="Arial"/>
                <w:b/>
                <w:bCs/>
                <w:sz w:val="20"/>
                <w:szCs w:val="20"/>
                <w:lang w:eastAsia="es-MX"/>
              </w:rPr>
              <w:t>Concepto</w:t>
            </w:r>
          </w:p>
        </w:tc>
        <w:tc>
          <w:tcPr>
            <w:tcW w:w="2451" w:type="dxa"/>
            <w:tcBorders>
              <w:top w:val="single" w:sz="8" w:space="0" w:color="auto"/>
              <w:left w:val="nil"/>
              <w:bottom w:val="single" w:sz="8" w:space="0" w:color="auto"/>
              <w:right w:val="nil"/>
            </w:tcBorders>
            <w:shd w:val="clear" w:color="000000" w:fill="D9D9D9"/>
            <w:noWrap/>
            <w:vAlign w:val="center"/>
            <w:hideMark/>
          </w:tcPr>
          <w:p w14:paraId="097F4A5C" w14:textId="4C9C10F1" w:rsidR="00595900" w:rsidRPr="005732FC" w:rsidRDefault="00595900" w:rsidP="00954488">
            <w:pPr>
              <w:spacing w:after="0" w:line="240" w:lineRule="auto"/>
              <w:jc w:val="center"/>
              <w:rPr>
                <w:rFonts w:ascii="Arial" w:hAnsi="Arial" w:cs="Arial"/>
                <w:b/>
                <w:bCs/>
                <w:sz w:val="20"/>
                <w:szCs w:val="20"/>
                <w:lang w:eastAsia="es-MX"/>
              </w:rPr>
            </w:pPr>
            <w:r w:rsidRPr="005732FC">
              <w:rPr>
                <w:rFonts w:ascii="Arial" w:hAnsi="Arial" w:cs="Arial"/>
                <w:b/>
                <w:bCs/>
                <w:sz w:val="20"/>
                <w:szCs w:val="20"/>
                <w:lang w:eastAsia="es-MX"/>
              </w:rPr>
              <w:t>30 de junio 2025</w:t>
            </w:r>
          </w:p>
        </w:tc>
      </w:tr>
      <w:tr w:rsidR="00595900" w:rsidRPr="005732FC" w14:paraId="5EC5135D" w14:textId="77777777" w:rsidTr="008C77A6">
        <w:trPr>
          <w:trHeight w:val="342"/>
        </w:trPr>
        <w:tc>
          <w:tcPr>
            <w:tcW w:w="5771" w:type="dxa"/>
            <w:gridSpan w:val="3"/>
            <w:tcBorders>
              <w:top w:val="nil"/>
              <w:left w:val="nil"/>
              <w:bottom w:val="nil"/>
              <w:right w:val="nil"/>
            </w:tcBorders>
            <w:noWrap/>
            <w:vAlign w:val="center"/>
            <w:hideMark/>
          </w:tcPr>
          <w:p w14:paraId="086A3C7A" w14:textId="77777777" w:rsidR="00595900" w:rsidRPr="0056446B" w:rsidRDefault="00595900" w:rsidP="00595900">
            <w:pPr>
              <w:spacing w:after="0" w:line="240" w:lineRule="auto"/>
              <w:rPr>
                <w:rFonts w:ascii="Arial" w:hAnsi="Arial" w:cs="Arial"/>
                <w:b/>
                <w:bCs/>
                <w:sz w:val="20"/>
                <w:szCs w:val="20"/>
                <w:lang w:eastAsia="es-MX"/>
              </w:rPr>
            </w:pPr>
            <w:r w:rsidRPr="0056446B">
              <w:rPr>
                <w:rFonts w:ascii="Arial" w:hAnsi="Arial" w:cs="Arial"/>
                <w:b/>
                <w:bCs/>
                <w:sz w:val="20"/>
                <w:szCs w:val="20"/>
                <w:lang w:eastAsia="es-MX"/>
              </w:rPr>
              <w:t>Transferencias Internas y Asignaciones al Sector Público</w:t>
            </w:r>
          </w:p>
        </w:tc>
        <w:tc>
          <w:tcPr>
            <w:tcW w:w="2451" w:type="dxa"/>
            <w:tcBorders>
              <w:top w:val="nil"/>
              <w:left w:val="nil"/>
              <w:bottom w:val="nil"/>
              <w:right w:val="nil"/>
            </w:tcBorders>
            <w:noWrap/>
            <w:vAlign w:val="center"/>
            <w:hideMark/>
          </w:tcPr>
          <w:p w14:paraId="6E9ED7AE" w14:textId="77777777" w:rsidR="00595900" w:rsidRPr="0056446B" w:rsidRDefault="00595900" w:rsidP="00595900">
            <w:pPr>
              <w:spacing w:after="0" w:line="240" w:lineRule="auto"/>
              <w:jc w:val="right"/>
              <w:rPr>
                <w:rFonts w:ascii="Arial" w:hAnsi="Arial" w:cs="Arial"/>
                <w:b/>
                <w:bCs/>
                <w:sz w:val="20"/>
                <w:szCs w:val="20"/>
                <w:lang w:eastAsia="es-MX"/>
              </w:rPr>
            </w:pPr>
            <w:r w:rsidRPr="0056446B">
              <w:rPr>
                <w:rFonts w:ascii="Arial" w:hAnsi="Arial" w:cs="Arial"/>
                <w:b/>
                <w:bCs/>
                <w:sz w:val="20"/>
                <w:szCs w:val="20"/>
                <w:lang w:eastAsia="es-MX"/>
              </w:rPr>
              <w:t>859,939,726.27</w:t>
            </w:r>
          </w:p>
        </w:tc>
      </w:tr>
      <w:tr w:rsidR="00595900" w:rsidRPr="005732FC" w14:paraId="7504C56F" w14:textId="77777777" w:rsidTr="008C77A6">
        <w:trPr>
          <w:trHeight w:val="283"/>
        </w:trPr>
        <w:tc>
          <w:tcPr>
            <w:tcW w:w="3897" w:type="dxa"/>
            <w:gridSpan w:val="2"/>
            <w:tcBorders>
              <w:top w:val="nil"/>
              <w:left w:val="nil"/>
              <w:bottom w:val="nil"/>
              <w:right w:val="nil"/>
            </w:tcBorders>
            <w:noWrap/>
            <w:vAlign w:val="center"/>
            <w:hideMark/>
          </w:tcPr>
          <w:p w14:paraId="4984B904"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Asignaciones al Sector Público</w:t>
            </w:r>
          </w:p>
        </w:tc>
        <w:tc>
          <w:tcPr>
            <w:tcW w:w="1874" w:type="dxa"/>
            <w:tcBorders>
              <w:top w:val="nil"/>
              <w:left w:val="nil"/>
              <w:bottom w:val="nil"/>
              <w:right w:val="nil"/>
            </w:tcBorders>
            <w:noWrap/>
            <w:vAlign w:val="center"/>
            <w:hideMark/>
          </w:tcPr>
          <w:p w14:paraId="03BAAD51" w14:textId="77777777" w:rsidR="00595900" w:rsidRPr="005732FC" w:rsidRDefault="00595900" w:rsidP="00595900">
            <w:pPr>
              <w:spacing w:after="0" w:line="240" w:lineRule="auto"/>
              <w:rPr>
                <w:rFonts w:ascii="Arial" w:hAnsi="Arial" w:cs="Arial"/>
                <w:sz w:val="20"/>
                <w:szCs w:val="20"/>
                <w:lang w:eastAsia="es-MX"/>
              </w:rPr>
            </w:pPr>
          </w:p>
        </w:tc>
        <w:tc>
          <w:tcPr>
            <w:tcW w:w="2451" w:type="dxa"/>
            <w:tcBorders>
              <w:top w:val="nil"/>
              <w:left w:val="nil"/>
              <w:bottom w:val="nil"/>
              <w:right w:val="nil"/>
            </w:tcBorders>
            <w:noWrap/>
            <w:vAlign w:val="center"/>
            <w:hideMark/>
          </w:tcPr>
          <w:p w14:paraId="2B97AE41"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859,939,726.27</w:t>
            </w:r>
          </w:p>
        </w:tc>
      </w:tr>
      <w:tr w:rsidR="00595900" w:rsidRPr="005732FC" w14:paraId="4581390A" w14:textId="77777777" w:rsidTr="008C77A6">
        <w:trPr>
          <w:trHeight w:val="20"/>
        </w:trPr>
        <w:tc>
          <w:tcPr>
            <w:tcW w:w="5771" w:type="dxa"/>
            <w:gridSpan w:val="3"/>
            <w:tcBorders>
              <w:top w:val="nil"/>
              <w:left w:val="nil"/>
              <w:bottom w:val="nil"/>
              <w:right w:val="nil"/>
            </w:tcBorders>
            <w:noWrap/>
            <w:vAlign w:val="center"/>
            <w:hideMark/>
          </w:tcPr>
          <w:p w14:paraId="53171AA6"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Transferencias Internas al sector publico</w:t>
            </w:r>
          </w:p>
        </w:tc>
        <w:tc>
          <w:tcPr>
            <w:tcW w:w="2451" w:type="dxa"/>
            <w:tcBorders>
              <w:top w:val="nil"/>
              <w:left w:val="nil"/>
              <w:bottom w:val="nil"/>
              <w:right w:val="nil"/>
            </w:tcBorders>
            <w:noWrap/>
            <w:vAlign w:val="center"/>
            <w:hideMark/>
          </w:tcPr>
          <w:p w14:paraId="38663EBA"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4271DF6A" w14:textId="77777777" w:rsidTr="008C77A6">
        <w:trPr>
          <w:trHeight w:val="20"/>
        </w:trPr>
        <w:tc>
          <w:tcPr>
            <w:tcW w:w="5771" w:type="dxa"/>
            <w:gridSpan w:val="3"/>
            <w:tcBorders>
              <w:top w:val="nil"/>
              <w:left w:val="nil"/>
              <w:bottom w:val="nil"/>
              <w:right w:val="nil"/>
            </w:tcBorders>
            <w:noWrap/>
            <w:vAlign w:val="center"/>
            <w:hideMark/>
          </w:tcPr>
          <w:p w14:paraId="09761BD0" w14:textId="77777777" w:rsidR="00595900" w:rsidRPr="0056446B" w:rsidRDefault="00595900" w:rsidP="00595900">
            <w:pPr>
              <w:spacing w:after="0" w:line="240" w:lineRule="auto"/>
              <w:rPr>
                <w:rFonts w:ascii="Arial" w:hAnsi="Arial" w:cs="Arial"/>
                <w:b/>
                <w:bCs/>
                <w:sz w:val="20"/>
                <w:szCs w:val="20"/>
                <w:lang w:eastAsia="es-MX"/>
              </w:rPr>
            </w:pPr>
            <w:r w:rsidRPr="0056446B">
              <w:rPr>
                <w:rFonts w:ascii="Arial" w:hAnsi="Arial" w:cs="Arial"/>
                <w:b/>
                <w:bCs/>
                <w:sz w:val="20"/>
                <w:szCs w:val="20"/>
                <w:lang w:eastAsia="es-MX"/>
              </w:rPr>
              <w:t>Transferencias al resto del sector Público</w:t>
            </w:r>
          </w:p>
        </w:tc>
        <w:tc>
          <w:tcPr>
            <w:tcW w:w="2451" w:type="dxa"/>
            <w:tcBorders>
              <w:top w:val="nil"/>
              <w:left w:val="nil"/>
              <w:bottom w:val="nil"/>
              <w:right w:val="nil"/>
            </w:tcBorders>
            <w:noWrap/>
            <w:vAlign w:val="center"/>
            <w:hideMark/>
          </w:tcPr>
          <w:p w14:paraId="1315B29D" w14:textId="77777777" w:rsidR="00595900" w:rsidRPr="0056446B" w:rsidRDefault="00595900" w:rsidP="00595900">
            <w:pPr>
              <w:spacing w:after="0" w:line="240" w:lineRule="auto"/>
              <w:jc w:val="right"/>
              <w:rPr>
                <w:rFonts w:ascii="Arial" w:hAnsi="Arial" w:cs="Arial"/>
                <w:b/>
                <w:bCs/>
                <w:sz w:val="20"/>
                <w:szCs w:val="20"/>
                <w:lang w:eastAsia="es-MX"/>
              </w:rPr>
            </w:pPr>
            <w:r w:rsidRPr="0056446B">
              <w:rPr>
                <w:rFonts w:ascii="Arial" w:hAnsi="Arial" w:cs="Arial"/>
                <w:b/>
                <w:bCs/>
                <w:sz w:val="20"/>
                <w:szCs w:val="20"/>
                <w:lang w:eastAsia="es-MX"/>
              </w:rPr>
              <w:t>65,572,036.00</w:t>
            </w:r>
          </w:p>
        </w:tc>
      </w:tr>
      <w:tr w:rsidR="00595900" w:rsidRPr="005732FC" w14:paraId="38A0BC5F" w14:textId="77777777" w:rsidTr="008C77A6">
        <w:trPr>
          <w:trHeight w:val="20"/>
        </w:trPr>
        <w:tc>
          <w:tcPr>
            <w:tcW w:w="5771" w:type="dxa"/>
            <w:gridSpan w:val="3"/>
            <w:tcBorders>
              <w:top w:val="nil"/>
              <w:left w:val="nil"/>
              <w:bottom w:val="nil"/>
              <w:right w:val="nil"/>
            </w:tcBorders>
            <w:noWrap/>
            <w:vAlign w:val="center"/>
            <w:hideMark/>
          </w:tcPr>
          <w:p w14:paraId="2594D00F"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lastRenderedPageBreak/>
              <w:t>Transferencias a Entidades Paraestatales</w:t>
            </w:r>
          </w:p>
        </w:tc>
        <w:tc>
          <w:tcPr>
            <w:tcW w:w="2451" w:type="dxa"/>
            <w:tcBorders>
              <w:top w:val="nil"/>
              <w:left w:val="nil"/>
              <w:bottom w:val="nil"/>
              <w:right w:val="nil"/>
            </w:tcBorders>
            <w:noWrap/>
            <w:vAlign w:val="center"/>
            <w:hideMark/>
          </w:tcPr>
          <w:p w14:paraId="58FE8E2A"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1D28BE8A" w14:textId="77777777" w:rsidTr="008C77A6">
        <w:trPr>
          <w:trHeight w:val="306"/>
        </w:trPr>
        <w:tc>
          <w:tcPr>
            <w:tcW w:w="5771" w:type="dxa"/>
            <w:gridSpan w:val="3"/>
            <w:tcBorders>
              <w:top w:val="nil"/>
              <w:left w:val="nil"/>
              <w:bottom w:val="nil"/>
              <w:right w:val="nil"/>
            </w:tcBorders>
            <w:noWrap/>
            <w:vAlign w:val="center"/>
            <w:hideMark/>
          </w:tcPr>
          <w:p w14:paraId="09675D8F"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Transferencias a entidades Federativas y Municipios</w:t>
            </w:r>
          </w:p>
        </w:tc>
        <w:tc>
          <w:tcPr>
            <w:tcW w:w="2451" w:type="dxa"/>
            <w:tcBorders>
              <w:top w:val="nil"/>
              <w:left w:val="nil"/>
              <w:bottom w:val="nil"/>
              <w:right w:val="nil"/>
            </w:tcBorders>
            <w:noWrap/>
            <w:vAlign w:val="center"/>
            <w:hideMark/>
          </w:tcPr>
          <w:p w14:paraId="5D7CF0A4"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65,572,036.00</w:t>
            </w:r>
          </w:p>
        </w:tc>
      </w:tr>
      <w:tr w:rsidR="00595900" w:rsidRPr="005732FC" w14:paraId="17E76051" w14:textId="77777777" w:rsidTr="008C77A6">
        <w:trPr>
          <w:trHeight w:val="20"/>
        </w:trPr>
        <w:tc>
          <w:tcPr>
            <w:tcW w:w="5771" w:type="dxa"/>
            <w:gridSpan w:val="3"/>
            <w:tcBorders>
              <w:top w:val="nil"/>
              <w:left w:val="nil"/>
              <w:bottom w:val="nil"/>
              <w:right w:val="nil"/>
            </w:tcBorders>
            <w:noWrap/>
            <w:vAlign w:val="center"/>
            <w:hideMark/>
          </w:tcPr>
          <w:p w14:paraId="3F226A62"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 xml:space="preserve">Subsidios y Subvenciones                                           </w:t>
            </w:r>
          </w:p>
        </w:tc>
        <w:tc>
          <w:tcPr>
            <w:tcW w:w="2451" w:type="dxa"/>
            <w:tcBorders>
              <w:top w:val="nil"/>
              <w:left w:val="nil"/>
              <w:bottom w:val="nil"/>
              <w:right w:val="nil"/>
            </w:tcBorders>
            <w:noWrap/>
            <w:vAlign w:val="center"/>
            <w:hideMark/>
          </w:tcPr>
          <w:p w14:paraId="2657F890"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48FFCF5B" w14:textId="77777777" w:rsidTr="008C77A6">
        <w:trPr>
          <w:trHeight w:val="20"/>
        </w:trPr>
        <w:tc>
          <w:tcPr>
            <w:tcW w:w="2074" w:type="dxa"/>
            <w:tcBorders>
              <w:top w:val="nil"/>
              <w:left w:val="nil"/>
              <w:bottom w:val="nil"/>
              <w:right w:val="nil"/>
            </w:tcBorders>
            <w:noWrap/>
            <w:vAlign w:val="center"/>
            <w:hideMark/>
          </w:tcPr>
          <w:p w14:paraId="2266B927"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Subsidios</w:t>
            </w:r>
          </w:p>
        </w:tc>
        <w:tc>
          <w:tcPr>
            <w:tcW w:w="1823" w:type="dxa"/>
            <w:tcBorders>
              <w:top w:val="nil"/>
              <w:left w:val="nil"/>
              <w:bottom w:val="nil"/>
              <w:right w:val="nil"/>
            </w:tcBorders>
            <w:noWrap/>
            <w:vAlign w:val="center"/>
            <w:hideMark/>
          </w:tcPr>
          <w:p w14:paraId="59D9C9B5" w14:textId="77777777" w:rsidR="00595900" w:rsidRPr="005732FC" w:rsidRDefault="00595900" w:rsidP="00595900">
            <w:pPr>
              <w:spacing w:after="0" w:line="240" w:lineRule="auto"/>
              <w:rPr>
                <w:rFonts w:ascii="Arial" w:hAnsi="Arial" w:cs="Arial"/>
                <w:sz w:val="20"/>
                <w:szCs w:val="20"/>
                <w:lang w:eastAsia="es-MX"/>
              </w:rPr>
            </w:pPr>
          </w:p>
        </w:tc>
        <w:tc>
          <w:tcPr>
            <w:tcW w:w="1874" w:type="dxa"/>
            <w:tcBorders>
              <w:top w:val="nil"/>
              <w:left w:val="nil"/>
              <w:bottom w:val="nil"/>
              <w:right w:val="nil"/>
            </w:tcBorders>
            <w:noWrap/>
            <w:vAlign w:val="center"/>
            <w:hideMark/>
          </w:tcPr>
          <w:p w14:paraId="131C1BF8" w14:textId="77777777" w:rsidR="00595900" w:rsidRPr="005732FC" w:rsidRDefault="00595900" w:rsidP="00595900">
            <w:pPr>
              <w:spacing w:after="0" w:line="240" w:lineRule="auto"/>
              <w:rPr>
                <w:rFonts w:ascii="Arial" w:hAnsi="Arial" w:cs="Arial"/>
                <w:sz w:val="20"/>
                <w:szCs w:val="20"/>
                <w:lang w:eastAsia="es-MX"/>
              </w:rPr>
            </w:pPr>
          </w:p>
        </w:tc>
        <w:tc>
          <w:tcPr>
            <w:tcW w:w="2451" w:type="dxa"/>
            <w:tcBorders>
              <w:top w:val="nil"/>
              <w:left w:val="nil"/>
              <w:bottom w:val="nil"/>
              <w:right w:val="nil"/>
            </w:tcBorders>
            <w:noWrap/>
            <w:vAlign w:val="center"/>
            <w:hideMark/>
          </w:tcPr>
          <w:p w14:paraId="3869AC32"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22CDD8BC" w14:textId="77777777" w:rsidTr="008C77A6">
        <w:trPr>
          <w:trHeight w:val="20"/>
        </w:trPr>
        <w:tc>
          <w:tcPr>
            <w:tcW w:w="2074" w:type="dxa"/>
            <w:tcBorders>
              <w:top w:val="nil"/>
              <w:left w:val="nil"/>
              <w:bottom w:val="nil"/>
              <w:right w:val="nil"/>
            </w:tcBorders>
            <w:noWrap/>
            <w:vAlign w:val="center"/>
            <w:hideMark/>
          </w:tcPr>
          <w:p w14:paraId="18C2C40E"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Subvenciones</w:t>
            </w:r>
          </w:p>
        </w:tc>
        <w:tc>
          <w:tcPr>
            <w:tcW w:w="1823" w:type="dxa"/>
            <w:tcBorders>
              <w:top w:val="nil"/>
              <w:left w:val="nil"/>
              <w:bottom w:val="nil"/>
              <w:right w:val="nil"/>
            </w:tcBorders>
            <w:noWrap/>
            <w:vAlign w:val="center"/>
            <w:hideMark/>
          </w:tcPr>
          <w:p w14:paraId="02E81971" w14:textId="77777777" w:rsidR="00595900" w:rsidRPr="005732FC" w:rsidRDefault="00595900" w:rsidP="00595900">
            <w:pPr>
              <w:spacing w:after="0" w:line="240" w:lineRule="auto"/>
              <w:rPr>
                <w:rFonts w:ascii="Arial" w:hAnsi="Arial" w:cs="Arial"/>
                <w:sz w:val="20"/>
                <w:szCs w:val="20"/>
                <w:lang w:eastAsia="es-MX"/>
              </w:rPr>
            </w:pPr>
          </w:p>
        </w:tc>
        <w:tc>
          <w:tcPr>
            <w:tcW w:w="1874" w:type="dxa"/>
            <w:tcBorders>
              <w:top w:val="nil"/>
              <w:left w:val="nil"/>
              <w:bottom w:val="nil"/>
              <w:right w:val="nil"/>
            </w:tcBorders>
            <w:noWrap/>
            <w:vAlign w:val="center"/>
            <w:hideMark/>
          </w:tcPr>
          <w:p w14:paraId="1D24BB0D" w14:textId="77777777" w:rsidR="00595900" w:rsidRPr="005732FC" w:rsidRDefault="00595900" w:rsidP="00595900">
            <w:pPr>
              <w:spacing w:after="0" w:line="240" w:lineRule="auto"/>
              <w:rPr>
                <w:rFonts w:ascii="Arial" w:hAnsi="Arial" w:cs="Arial"/>
                <w:sz w:val="20"/>
                <w:szCs w:val="20"/>
                <w:lang w:eastAsia="es-MX"/>
              </w:rPr>
            </w:pPr>
          </w:p>
        </w:tc>
        <w:tc>
          <w:tcPr>
            <w:tcW w:w="2451" w:type="dxa"/>
            <w:tcBorders>
              <w:top w:val="nil"/>
              <w:left w:val="nil"/>
              <w:bottom w:val="nil"/>
              <w:right w:val="nil"/>
            </w:tcBorders>
            <w:noWrap/>
            <w:vAlign w:val="center"/>
            <w:hideMark/>
          </w:tcPr>
          <w:p w14:paraId="2528A1A4"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0F98E026" w14:textId="77777777" w:rsidTr="008C77A6">
        <w:trPr>
          <w:trHeight w:val="20"/>
        </w:trPr>
        <w:tc>
          <w:tcPr>
            <w:tcW w:w="2074" w:type="dxa"/>
            <w:tcBorders>
              <w:top w:val="nil"/>
              <w:left w:val="nil"/>
              <w:bottom w:val="nil"/>
              <w:right w:val="nil"/>
            </w:tcBorders>
            <w:noWrap/>
            <w:vAlign w:val="center"/>
            <w:hideMark/>
          </w:tcPr>
          <w:p w14:paraId="4E007B10" w14:textId="77777777" w:rsidR="00595900" w:rsidRPr="0056446B" w:rsidRDefault="00595900" w:rsidP="00595900">
            <w:pPr>
              <w:spacing w:after="0" w:line="240" w:lineRule="auto"/>
              <w:rPr>
                <w:rFonts w:ascii="Arial" w:hAnsi="Arial" w:cs="Arial"/>
                <w:b/>
                <w:bCs/>
                <w:sz w:val="20"/>
                <w:szCs w:val="20"/>
                <w:lang w:eastAsia="es-MX"/>
              </w:rPr>
            </w:pPr>
            <w:r w:rsidRPr="0056446B">
              <w:rPr>
                <w:rFonts w:ascii="Arial" w:hAnsi="Arial" w:cs="Arial"/>
                <w:b/>
                <w:bCs/>
                <w:sz w:val="20"/>
                <w:szCs w:val="20"/>
                <w:lang w:eastAsia="es-MX"/>
              </w:rPr>
              <w:t>Ayudas Sociales</w:t>
            </w:r>
          </w:p>
        </w:tc>
        <w:tc>
          <w:tcPr>
            <w:tcW w:w="1823" w:type="dxa"/>
            <w:tcBorders>
              <w:top w:val="nil"/>
              <w:left w:val="nil"/>
              <w:bottom w:val="nil"/>
              <w:right w:val="nil"/>
            </w:tcBorders>
            <w:noWrap/>
            <w:vAlign w:val="center"/>
            <w:hideMark/>
          </w:tcPr>
          <w:p w14:paraId="037DFBB1" w14:textId="77777777" w:rsidR="00595900" w:rsidRPr="0056446B" w:rsidRDefault="00595900" w:rsidP="00595900">
            <w:pPr>
              <w:spacing w:after="0" w:line="240" w:lineRule="auto"/>
              <w:rPr>
                <w:rFonts w:ascii="Arial" w:hAnsi="Arial" w:cs="Arial"/>
                <w:b/>
                <w:bCs/>
                <w:sz w:val="20"/>
                <w:szCs w:val="20"/>
                <w:lang w:eastAsia="es-MX"/>
              </w:rPr>
            </w:pPr>
          </w:p>
        </w:tc>
        <w:tc>
          <w:tcPr>
            <w:tcW w:w="1874" w:type="dxa"/>
            <w:tcBorders>
              <w:top w:val="nil"/>
              <w:left w:val="nil"/>
              <w:bottom w:val="nil"/>
              <w:right w:val="nil"/>
            </w:tcBorders>
            <w:noWrap/>
            <w:vAlign w:val="center"/>
            <w:hideMark/>
          </w:tcPr>
          <w:p w14:paraId="132D77D7" w14:textId="77777777" w:rsidR="00595900" w:rsidRPr="0056446B" w:rsidRDefault="00595900" w:rsidP="00595900">
            <w:pPr>
              <w:spacing w:after="0" w:line="240" w:lineRule="auto"/>
              <w:rPr>
                <w:rFonts w:ascii="Arial" w:hAnsi="Arial" w:cs="Arial"/>
                <w:b/>
                <w:bCs/>
                <w:sz w:val="20"/>
                <w:szCs w:val="20"/>
                <w:lang w:eastAsia="es-MX"/>
              </w:rPr>
            </w:pPr>
          </w:p>
        </w:tc>
        <w:tc>
          <w:tcPr>
            <w:tcW w:w="2451" w:type="dxa"/>
            <w:tcBorders>
              <w:top w:val="nil"/>
              <w:left w:val="nil"/>
              <w:bottom w:val="nil"/>
              <w:right w:val="nil"/>
            </w:tcBorders>
            <w:noWrap/>
            <w:vAlign w:val="center"/>
            <w:hideMark/>
          </w:tcPr>
          <w:p w14:paraId="525B31F8" w14:textId="77777777" w:rsidR="00595900" w:rsidRPr="0056446B" w:rsidRDefault="00595900" w:rsidP="00595900">
            <w:pPr>
              <w:spacing w:after="0" w:line="240" w:lineRule="auto"/>
              <w:jc w:val="right"/>
              <w:rPr>
                <w:rFonts w:ascii="Arial" w:hAnsi="Arial" w:cs="Arial"/>
                <w:b/>
                <w:bCs/>
                <w:sz w:val="20"/>
                <w:szCs w:val="20"/>
                <w:lang w:eastAsia="es-MX"/>
              </w:rPr>
            </w:pPr>
            <w:r w:rsidRPr="0056446B">
              <w:rPr>
                <w:rFonts w:ascii="Arial" w:hAnsi="Arial" w:cs="Arial"/>
                <w:b/>
                <w:bCs/>
                <w:sz w:val="20"/>
                <w:szCs w:val="20"/>
                <w:lang w:eastAsia="es-MX"/>
              </w:rPr>
              <w:t>53,660,104.66</w:t>
            </w:r>
          </w:p>
        </w:tc>
      </w:tr>
      <w:tr w:rsidR="00595900" w:rsidRPr="005732FC" w14:paraId="1711D2BA" w14:textId="77777777" w:rsidTr="008C77A6">
        <w:trPr>
          <w:trHeight w:val="80"/>
        </w:trPr>
        <w:tc>
          <w:tcPr>
            <w:tcW w:w="3897" w:type="dxa"/>
            <w:gridSpan w:val="2"/>
            <w:tcBorders>
              <w:top w:val="nil"/>
              <w:left w:val="nil"/>
              <w:bottom w:val="nil"/>
              <w:right w:val="nil"/>
            </w:tcBorders>
            <w:noWrap/>
            <w:vAlign w:val="center"/>
            <w:hideMark/>
          </w:tcPr>
          <w:p w14:paraId="76DBB83D"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Ayudas Sociales a Personas</w:t>
            </w:r>
          </w:p>
        </w:tc>
        <w:tc>
          <w:tcPr>
            <w:tcW w:w="1874" w:type="dxa"/>
            <w:tcBorders>
              <w:top w:val="nil"/>
              <w:left w:val="nil"/>
              <w:bottom w:val="nil"/>
              <w:right w:val="nil"/>
            </w:tcBorders>
            <w:noWrap/>
            <w:vAlign w:val="center"/>
            <w:hideMark/>
          </w:tcPr>
          <w:p w14:paraId="66380354" w14:textId="77777777" w:rsidR="00595900" w:rsidRPr="005732FC" w:rsidRDefault="00595900" w:rsidP="00595900">
            <w:pPr>
              <w:spacing w:after="0" w:line="240" w:lineRule="auto"/>
              <w:rPr>
                <w:rFonts w:ascii="Arial" w:hAnsi="Arial" w:cs="Arial"/>
                <w:sz w:val="20"/>
                <w:szCs w:val="20"/>
                <w:lang w:eastAsia="es-MX"/>
              </w:rPr>
            </w:pPr>
          </w:p>
        </w:tc>
        <w:tc>
          <w:tcPr>
            <w:tcW w:w="2451" w:type="dxa"/>
            <w:tcBorders>
              <w:top w:val="nil"/>
              <w:left w:val="nil"/>
              <w:bottom w:val="nil"/>
              <w:right w:val="nil"/>
            </w:tcBorders>
            <w:noWrap/>
            <w:vAlign w:val="bottom"/>
            <w:hideMark/>
          </w:tcPr>
          <w:p w14:paraId="0DE4A16F"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39,980,581.74</w:t>
            </w:r>
          </w:p>
        </w:tc>
      </w:tr>
      <w:tr w:rsidR="00595900" w:rsidRPr="005732FC" w14:paraId="0DE13168" w14:textId="77777777" w:rsidTr="008C77A6">
        <w:trPr>
          <w:trHeight w:val="20"/>
        </w:trPr>
        <w:tc>
          <w:tcPr>
            <w:tcW w:w="5771" w:type="dxa"/>
            <w:gridSpan w:val="3"/>
            <w:tcBorders>
              <w:top w:val="nil"/>
              <w:left w:val="nil"/>
              <w:bottom w:val="nil"/>
              <w:right w:val="nil"/>
            </w:tcBorders>
            <w:noWrap/>
            <w:vAlign w:val="center"/>
            <w:hideMark/>
          </w:tcPr>
          <w:p w14:paraId="21CDF447"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Becas y Otras Ayudas Para Programas</w:t>
            </w:r>
          </w:p>
        </w:tc>
        <w:tc>
          <w:tcPr>
            <w:tcW w:w="2451" w:type="dxa"/>
            <w:tcBorders>
              <w:top w:val="nil"/>
              <w:left w:val="nil"/>
              <w:bottom w:val="nil"/>
              <w:right w:val="nil"/>
            </w:tcBorders>
            <w:noWrap/>
            <w:vAlign w:val="center"/>
            <w:hideMark/>
          </w:tcPr>
          <w:p w14:paraId="7520FEF0"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2,036,222.92</w:t>
            </w:r>
          </w:p>
        </w:tc>
      </w:tr>
      <w:tr w:rsidR="00595900" w:rsidRPr="005732FC" w14:paraId="32305E81" w14:textId="77777777" w:rsidTr="008C77A6">
        <w:trPr>
          <w:trHeight w:val="80"/>
        </w:trPr>
        <w:tc>
          <w:tcPr>
            <w:tcW w:w="3897" w:type="dxa"/>
            <w:gridSpan w:val="2"/>
            <w:tcBorders>
              <w:top w:val="nil"/>
              <w:left w:val="nil"/>
              <w:bottom w:val="nil"/>
              <w:right w:val="nil"/>
            </w:tcBorders>
            <w:noWrap/>
            <w:vAlign w:val="center"/>
            <w:hideMark/>
          </w:tcPr>
          <w:p w14:paraId="13310BC5"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Ayudas Sociales a Instituciones</w:t>
            </w:r>
          </w:p>
        </w:tc>
        <w:tc>
          <w:tcPr>
            <w:tcW w:w="1874" w:type="dxa"/>
            <w:tcBorders>
              <w:top w:val="nil"/>
              <w:left w:val="nil"/>
              <w:bottom w:val="nil"/>
              <w:right w:val="nil"/>
            </w:tcBorders>
            <w:noWrap/>
            <w:vAlign w:val="center"/>
            <w:hideMark/>
          </w:tcPr>
          <w:p w14:paraId="5B9D45C1" w14:textId="77777777" w:rsidR="00595900" w:rsidRPr="005732FC" w:rsidRDefault="00595900" w:rsidP="00595900">
            <w:pPr>
              <w:spacing w:after="0" w:line="240" w:lineRule="auto"/>
              <w:rPr>
                <w:rFonts w:ascii="Arial" w:hAnsi="Arial" w:cs="Arial"/>
                <w:sz w:val="20"/>
                <w:szCs w:val="20"/>
                <w:lang w:eastAsia="es-MX"/>
              </w:rPr>
            </w:pPr>
          </w:p>
        </w:tc>
        <w:tc>
          <w:tcPr>
            <w:tcW w:w="2451" w:type="dxa"/>
            <w:tcBorders>
              <w:top w:val="nil"/>
              <w:left w:val="nil"/>
              <w:bottom w:val="nil"/>
              <w:right w:val="nil"/>
            </w:tcBorders>
            <w:noWrap/>
            <w:vAlign w:val="bottom"/>
            <w:hideMark/>
          </w:tcPr>
          <w:p w14:paraId="3B89D800"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11,643,300.00</w:t>
            </w:r>
          </w:p>
        </w:tc>
      </w:tr>
      <w:tr w:rsidR="00595900" w:rsidRPr="005732FC" w14:paraId="46A4BF11" w14:textId="77777777" w:rsidTr="008C77A6">
        <w:trPr>
          <w:trHeight w:val="20"/>
        </w:trPr>
        <w:tc>
          <w:tcPr>
            <w:tcW w:w="5771" w:type="dxa"/>
            <w:gridSpan w:val="3"/>
            <w:tcBorders>
              <w:top w:val="nil"/>
              <w:left w:val="nil"/>
              <w:bottom w:val="nil"/>
              <w:right w:val="nil"/>
            </w:tcBorders>
            <w:noWrap/>
            <w:vAlign w:val="center"/>
            <w:hideMark/>
          </w:tcPr>
          <w:p w14:paraId="04A640ED"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Ayudas Sociales por Desastres Naturales y Otros Siniestros</w:t>
            </w:r>
          </w:p>
        </w:tc>
        <w:tc>
          <w:tcPr>
            <w:tcW w:w="2451" w:type="dxa"/>
            <w:tcBorders>
              <w:top w:val="nil"/>
              <w:left w:val="nil"/>
              <w:bottom w:val="nil"/>
              <w:right w:val="nil"/>
            </w:tcBorders>
            <w:noWrap/>
            <w:vAlign w:val="center"/>
            <w:hideMark/>
          </w:tcPr>
          <w:p w14:paraId="79157134"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4C4DB540" w14:textId="77777777" w:rsidTr="008C77A6">
        <w:trPr>
          <w:trHeight w:val="20"/>
        </w:trPr>
        <w:tc>
          <w:tcPr>
            <w:tcW w:w="3897" w:type="dxa"/>
            <w:gridSpan w:val="2"/>
            <w:tcBorders>
              <w:top w:val="nil"/>
              <w:left w:val="nil"/>
              <w:bottom w:val="nil"/>
              <w:right w:val="nil"/>
            </w:tcBorders>
            <w:noWrap/>
            <w:vAlign w:val="center"/>
            <w:hideMark/>
          </w:tcPr>
          <w:p w14:paraId="3942CDA9" w14:textId="77777777" w:rsidR="00595900" w:rsidRPr="0056446B" w:rsidRDefault="00595900" w:rsidP="00595900">
            <w:pPr>
              <w:spacing w:after="0" w:line="240" w:lineRule="auto"/>
              <w:rPr>
                <w:rFonts w:ascii="Arial" w:hAnsi="Arial" w:cs="Arial"/>
                <w:b/>
                <w:bCs/>
                <w:sz w:val="20"/>
                <w:szCs w:val="20"/>
                <w:lang w:eastAsia="es-MX"/>
              </w:rPr>
            </w:pPr>
            <w:r w:rsidRPr="0056446B">
              <w:rPr>
                <w:rFonts w:ascii="Arial" w:hAnsi="Arial" w:cs="Arial"/>
                <w:b/>
                <w:bCs/>
                <w:sz w:val="20"/>
                <w:szCs w:val="20"/>
                <w:lang w:eastAsia="es-MX"/>
              </w:rPr>
              <w:t>Pensiones y Jubilaciones</w:t>
            </w:r>
          </w:p>
        </w:tc>
        <w:tc>
          <w:tcPr>
            <w:tcW w:w="1874" w:type="dxa"/>
            <w:tcBorders>
              <w:top w:val="nil"/>
              <w:left w:val="nil"/>
              <w:bottom w:val="nil"/>
              <w:right w:val="nil"/>
            </w:tcBorders>
            <w:noWrap/>
            <w:vAlign w:val="center"/>
            <w:hideMark/>
          </w:tcPr>
          <w:p w14:paraId="52D8A81B" w14:textId="77777777" w:rsidR="00595900" w:rsidRPr="0056446B" w:rsidRDefault="00595900" w:rsidP="00595900">
            <w:pPr>
              <w:spacing w:after="0" w:line="240" w:lineRule="auto"/>
              <w:rPr>
                <w:rFonts w:ascii="Arial" w:hAnsi="Arial" w:cs="Arial"/>
                <w:b/>
                <w:bCs/>
                <w:sz w:val="20"/>
                <w:szCs w:val="20"/>
                <w:lang w:eastAsia="es-MX"/>
              </w:rPr>
            </w:pPr>
          </w:p>
        </w:tc>
        <w:tc>
          <w:tcPr>
            <w:tcW w:w="2451" w:type="dxa"/>
            <w:tcBorders>
              <w:top w:val="nil"/>
              <w:left w:val="nil"/>
              <w:bottom w:val="nil"/>
              <w:right w:val="nil"/>
            </w:tcBorders>
            <w:noWrap/>
            <w:vAlign w:val="center"/>
            <w:hideMark/>
          </w:tcPr>
          <w:p w14:paraId="5CB5FA3C" w14:textId="77777777" w:rsidR="00595900" w:rsidRPr="0056446B" w:rsidRDefault="00595900" w:rsidP="00595900">
            <w:pPr>
              <w:spacing w:after="0" w:line="240" w:lineRule="auto"/>
              <w:jc w:val="right"/>
              <w:rPr>
                <w:rFonts w:ascii="Arial" w:hAnsi="Arial" w:cs="Arial"/>
                <w:b/>
                <w:bCs/>
                <w:sz w:val="20"/>
                <w:szCs w:val="20"/>
                <w:lang w:eastAsia="es-MX"/>
              </w:rPr>
            </w:pPr>
            <w:r w:rsidRPr="0056446B">
              <w:rPr>
                <w:rFonts w:ascii="Arial" w:hAnsi="Arial" w:cs="Arial"/>
                <w:b/>
                <w:bCs/>
                <w:sz w:val="20"/>
                <w:szCs w:val="20"/>
                <w:lang w:eastAsia="es-MX"/>
              </w:rPr>
              <w:t>0.00</w:t>
            </w:r>
          </w:p>
        </w:tc>
      </w:tr>
      <w:tr w:rsidR="00595900" w:rsidRPr="005732FC" w14:paraId="0F8A378F" w14:textId="77777777" w:rsidTr="008C77A6">
        <w:trPr>
          <w:trHeight w:val="20"/>
        </w:trPr>
        <w:tc>
          <w:tcPr>
            <w:tcW w:w="2074" w:type="dxa"/>
            <w:tcBorders>
              <w:top w:val="nil"/>
              <w:left w:val="nil"/>
              <w:bottom w:val="nil"/>
              <w:right w:val="nil"/>
            </w:tcBorders>
            <w:noWrap/>
            <w:vAlign w:val="center"/>
            <w:hideMark/>
          </w:tcPr>
          <w:p w14:paraId="5C2F2FD7"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Pensiones</w:t>
            </w:r>
          </w:p>
        </w:tc>
        <w:tc>
          <w:tcPr>
            <w:tcW w:w="1823" w:type="dxa"/>
            <w:tcBorders>
              <w:top w:val="nil"/>
              <w:left w:val="nil"/>
              <w:bottom w:val="nil"/>
              <w:right w:val="nil"/>
            </w:tcBorders>
            <w:noWrap/>
            <w:vAlign w:val="center"/>
            <w:hideMark/>
          </w:tcPr>
          <w:p w14:paraId="194B31E9" w14:textId="77777777" w:rsidR="00595900" w:rsidRPr="005732FC" w:rsidRDefault="00595900" w:rsidP="00595900">
            <w:pPr>
              <w:spacing w:after="0" w:line="240" w:lineRule="auto"/>
              <w:rPr>
                <w:rFonts w:ascii="Arial" w:hAnsi="Arial" w:cs="Arial"/>
                <w:sz w:val="20"/>
                <w:szCs w:val="20"/>
                <w:lang w:eastAsia="es-MX"/>
              </w:rPr>
            </w:pPr>
          </w:p>
        </w:tc>
        <w:tc>
          <w:tcPr>
            <w:tcW w:w="1874" w:type="dxa"/>
            <w:tcBorders>
              <w:top w:val="nil"/>
              <w:left w:val="nil"/>
              <w:bottom w:val="nil"/>
              <w:right w:val="nil"/>
            </w:tcBorders>
            <w:noWrap/>
            <w:vAlign w:val="center"/>
            <w:hideMark/>
          </w:tcPr>
          <w:p w14:paraId="74C67336" w14:textId="77777777" w:rsidR="00595900" w:rsidRPr="005732FC" w:rsidRDefault="00595900" w:rsidP="00595900">
            <w:pPr>
              <w:spacing w:after="0" w:line="240" w:lineRule="auto"/>
              <w:rPr>
                <w:rFonts w:ascii="Arial" w:hAnsi="Arial" w:cs="Arial"/>
                <w:sz w:val="20"/>
                <w:szCs w:val="20"/>
                <w:lang w:eastAsia="es-MX"/>
              </w:rPr>
            </w:pPr>
          </w:p>
        </w:tc>
        <w:tc>
          <w:tcPr>
            <w:tcW w:w="2451" w:type="dxa"/>
            <w:tcBorders>
              <w:top w:val="nil"/>
              <w:left w:val="nil"/>
              <w:bottom w:val="nil"/>
              <w:right w:val="nil"/>
            </w:tcBorders>
            <w:noWrap/>
            <w:vAlign w:val="center"/>
            <w:hideMark/>
          </w:tcPr>
          <w:p w14:paraId="7C3EC7F7"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71CFD8D3" w14:textId="77777777" w:rsidTr="008C77A6">
        <w:trPr>
          <w:trHeight w:val="20"/>
        </w:trPr>
        <w:tc>
          <w:tcPr>
            <w:tcW w:w="2074" w:type="dxa"/>
            <w:tcBorders>
              <w:top w:val="nil"/>
              <w:left w:val="nil"/>
              <w:bottom w:val="nil"/>
              <w:right w:val="nil"/>
            </w:tcBorders>
            <w:noWrap/>
            <w:vAlign w:val="center"/>
            <w:hideMark/>
          </w:tcPr>
          <w:p w14:paraId="448220EC"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Jubilaciones</w:t>
            </w:r>
          </w:p>
        </w:tc>
        <w:tc>
          <w:tcPr>
            <w:tcW w:w="1823" w:type="dxa"/>
            <w:tcBorders>
              <w:top w:val="nil"/>
              <w:left w:val="nil"/>
              <w:bottom w:val="nil"/>
              <w:right w:val="nil"/>
            </w:tcBorders>
            <w:noWrap/>
            <w:vAlign w:val="center"/>
            <w:hideMark/>
          </w:tcPr>
          <w:p w14:paraId="4F35CB82" w14:textId="77777777" w:rsidR="00595900" w:rsidRPr="005732FC" w:rsidRDefault="00595900" w:rsidP="00595900">
            <w:pPr>
              <w:spacing w:after="0" w:line="240" w:lineRule="auto"/>
              <w:rPr>
                <w:rFonts w:ascii="Arial" w:hAnsi="Arial" w:cs="Arial"/>
                <w:sz w:val="20"/>
                <w:szCs w:val="20"/>
                <w:lang w:eastAsia="es-MX"/>
              </w:rPr>
            </w:pPr>
          </w:p>
        </w:tc>
        <w:tc>
          <w:tcPr>
            <w:tcW w:w="1874" w:type="dxa"/>
            <w:tcBorders>
              <w:top w:val="nil"/>
              <w:left w:val="nil"/>
              <w:bottom w:val="nil"/>
              <w:right w:val="nil"/>
            </w:tcBorders>
            <w:noWrap/>
            <w:vAlign w:val="center"/>
            <w:hideMark/>
          </w:tcPr>
          <w:p w14:paraId="5DCD28E5" w14:textId="77777777" w:rsidR="00595900" w:rsidRPr="005732FC" w:rsidRDefault="00595900" w:rsidP="00595900">
            <w:pPr>
              <w:spacing w:after="0" w:line="240" w:lineRule="auto"/>
              <w:rPr>
                <w:rFonts w:ascii="Arial" w:hAnsi="Arial" w:cs="Arial"/>
                <w:sz w:val="20"/>
                <w:szCs w:val="20"/>
                <w:lang w:eastAsia="es-MX"/>
              </w:rPr>
            </w:pPr>
          </w:p>
        </w:tc>
        <w:tc>
          <w:tcPr>
            <w:tcW w:w="2451" w:type="dxa"/>
            <w:tcBorders>
              <w:top w:val="nil"/>
              <w:left w:val="nil"/>
              <w:bottom w:val="nil"/>
              <w:right w:val="nil"/>
            </w:tcBorders>
            <w:noWrap/>
            <w:vAlign w:val="center"/>
            <w:hideMark/>
          </w:tcPr>
          <w:p w14:paraId="22A6BDE6"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73124CA0" w14:textId="77777777" w:rsidTr="008C77A6">
        <w:trPr>
          <w:trHeight w:val="20"/>
        </w:trPr>
        <w:tc>
          <w:tcPr>
            <w:tcW w:w="3897" w:type="dxa"/>
            <w:gridSpan w:val="2"/>
            <w:tcBorders>
              <w:top w:val="nil"/>
              <w:left w:val="nil"/>
              <w:bottom w:val="nil"/>
              <w:right w:val="nil"/>
            </w:tcBorders>
            <w:noWrap/>
            <w:vAlign w:val="center"/>
            <w:hideMark/>
          </w:tcPr>
          <w:p w14:paraId="4DBE004D"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Otras Pensiones y Jubilaciones</w:t>
            </w:r>
          </w:p>
        </w:tc>
        <w:tc>
          <w:tcPr>
            <w:tcW w:w="1874" w:type="dxa"/>
            <w:tcBorders>
              <w:top w:val="nil"/>
              <w:left w:val="nil"/>
              <w:bottom w:val="nil"/>
              <w:right w:val="nil"/>
            </w:tcBorders>
            <w:noWrap/>
            <w:vAlign w:val="center"/>
            <w:hideMark/>
          </w:tcPr>
          <w:p w14:paraId="0D1E6850" w14:textId="77777777" w:rsidR="00595900" w:rsidRPr="005732FC" w:rsidRDefault="00595900" w:rsidP="00595900">
            <w:pPr>
              <w:spacing w:after="0" w:line="240" w:lineRule="auto"/>
              <w:rPr>
                <w:rFonts w:ascii="Arial" w:hAnsi="Arial" w:cs="Arial"/>
                <w:sz w:val="20"/>
                <w:szCs w:val="20"/>
                <w:lang w:eastAsia="es-MX"/>
              </w:rPr>
            </w:pPr>
          </w:p>
        </w:tc>
        <w:tc>
          <w:tcPr>
            <w:tcW w:w="2451" w:type="dxa"/>
            <w:tcBorders>
              <w:top w:val="nil"/>
              <w:left w:val="nil"/>
              <w:bottom w:val="nil"/>
              <w:right w:val="nil"/>
            </w:tcBorders>
            <w:noWrap/>
            <w:vAlign w:val="center"/>
            <w:hideMark/>
          </w:tcPr>
          <w:p w14:paraId="62946C79"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1DEDD4AC" w14:textId="77777777" w:rsidTr="008C77A6">
        <w:trPr>
          <w:trHeight w:val="20"/>
        </w:trPr>
        <w:tc>
          <w:tcPr>
            <w:tcW w:w="2074" w:type="dxa"/>
            <w:tcBorders>
              <w:top w:val="nil"/>
              <w:left w:val="nil"/>
              <w:bottom w:val="nil"/>
              <w:right w:val="nil"/>
            </w:tcBorders>
            <w:noWrap/>
            <w:vAlign w:val="center"/>
            <w:hideMark/>
          </w:tcPr>
          <w:p w14:paraId="20127AD5" w14:textId="77777777" w:rsidR="00595900" w:rsidRPr="0056446B" w:rsidRDefault="00595900" w:rsidP="00595900">
            <w:pPr>
              <w:spacing w:after="0" w:line="240" w:lineRule="auto"/>
              <w:rPr>
                <w:rFonts w:ascii="Arial" w:hAnsi="Arial" w:cs="Arial"/>
                <w:b/>
                <w:bCs/>
                <w:sz w:val="20"/>
                <w:szCs w:val="20"/>
                <w:lang w:eastAsia="es-MX"/>
              </w:rPr>
            </w:pPr>
            <w:r w:rsidRPr="0056446B">
              <w:rPr>
                <w:rFonts w:ascii="Arial" w:hAnsi="Arial" w:cs="Arial"/>
                <w:b/>
                <w:bCs/>
                <w:sz w:val="20"/>
                <w:szCs w:val="20"/>
                <w:lang w:eastAsia="es-MX"/>
              </w:rPr>
              <w:t>Donativos</w:t>
            </w:r>
          </w:p>
        </w:tc>
        <w:tc>
          <w:tcPr>
            <w:tcW w:w="1823" w:type="dxa"/>
            <w:tcBorders>
              <w:top w:val="nil"/>
              <w:left w:val="nil"/>
              <w:bottom w:val="nil"/>
              <w:right w:val="nil"/>
            </w:tcBorders>
            <w:noWrap/>
            <w:vAlign w:val="center"/>
            <w:hideMark/>
          </w:tcPr>
          <w:p w14:paraId="7FFEF5A5" w14:textId="77777777" w:rsidR="00595900" w:rsidRPr="0056446B" w:rsidRDefault="00595900" w:rsidP="00595900">
            <w:pPr>
              <w:spacing w:after="0" w:line="240" w:lineRule="auto"/>
              <w:rPr>
                <w:rFonts w:ascii="Arial" w:hAnsi="Arial" w:cs="Arial"/>
                <w:b/>
                <w:bCs/>
                <w:sz w:val="20"/>
                <w:szCs w:val="20"/>
                <w:lang w:eastAsia="es-MX"/>
              </w:rPr>
            </w:pPr>
          </w:p>
        </w:tc>
        <w:tc>
          <w:tcPr>
            <w:tcW w:w="1874" w:type="dxa"/>
            <w:tcBorders>
              <w:top w:val="nil"/>
              <w:left w:val="nil"/>
              <w:bottom w:val="nil"/>
              <w:right w:val="nil"/>
            </w:tcBorders>
            <w:noWrap/>
            <w:vAlign w:val="center"/>
            <w:hideMark/>
          </w:tcPr>
          <w:p w14:paraId="7322CAF3" w14:textId="77777777" w:rsidR="00595900" w:rsidRPr="0056446B" w:rsidRDefault="00595900" w:rsidP="00595900">
            <w:pPr>
              <w:spacing w:after="0" w:line="240" w:lineRule="auto"/>
              <w:rPr>
                <w:rFonts w:ascii="Arial" w:hAnsi="Arial" w:cs="Arial"/>
                <w:b/>
                <w:bCs/>
                <w:sz w:val="20"/>
                <w:szCs w:val="20"/>
                <w:lang w:eastAsia="es-MX"/>
              </w:rPr>
            </w:pPr>
          </w:p>
        </w:tc>
        <w:tc>
          <w:tcPr>
            <w:tcW w:w="2451" w:type="dxa"/>
            <w:tcBorders>
              <w:top w:val="nil"/>
              <w:left w:val="nil"/>
              <w:bottom w:val="nil"/>
              <w:right w:val="nil"/>
            </w:tcBorders>
            <w:noWrap/>
            <w:vAlign w:val="center"/>
            <w:hideMark/>
          </w:tcPr>
          <w:p w14:paraId="18D0D0FA" w14:textId="77777777" w:rsidR="00595900" w:rsidRPr="0056446B" w:rsidRDefault="00595900" w:rsidP="00595900">
            <w:pPr>
              <w:spacing w:after="0" w:line="240" w:lineRule="auto"/>
              <w:jc w:val="right"/>
              <w:rPr>
                <w:rFonts w:ascii="Arial" w:hAnsi="Arial" w:cs="Arial"/>
                <w:b/>
                <w:bCs/>
                <w:sz w:val="20"/>
                <w:szCs w:val="20"/>
                <w:lang w:eastAsia="es-MX"/>
              </w:rPr>
            </w:pPr>
            <w:r w:rsidRPr="0056446B">
              <w:rPr>
                <w:rFonts w:ascii="Arial" w:hAnsi="Arial" w:cs="Arial"/>
                <w:b/>
                <w:bCs/>
                <w:sz w:val="20"/>
                <w:szCs w:val="20"/>
                <w:lang w:eastAsia="es-MX"/>
              </w:rPr>
              <w:t>0.00</w:t>
            </w:r>
          </w:p>
        </w:tc>
      </w:tr>
      <w:tr w:rsidR="00595900" w:rsidRPr="005732FC" w14:paraId="4AEF8675" w14:textId="77777777" w:rsidTr="008C77A6">
        <w:trPr>
          <w:trHeight w:val="20"/>
        </w:trPr>
        <w:tc>
          <w:tcPr>
            <w:tcW w:w="5771" w:type="dxa"/>
            <w:gridSpan w:val="3"/>
            <w:tcBorders>
              <w:top w:val="nil"/>
              <w:left w:val="nil"/>
              <w:bottom w:val="nil"/>
              <w:right w:val="nil"/>
            </w:tcBorders>
            <w:noWrap/>
            <w:vAlign w:val="center"/>
            <w:hideMark/>
          </w:tcPr>
          <w:p w14:paraId="480499C2"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Donativos a Instituciones sin fines de lucro</w:t>
            </w:r>
          </w:p>
        </w:tc>
        <w:tc>
          <w:tcPr>
            <w:tcW w:w="2451" w:type="dxa"/>
            <w:tcBorders>
              <w:top w:val="nil"/>
              <w:left w:val="nil"/>
              <w:bottom w:val="nil"/>
              <w:right w:val="nil"/>
            </w:tcBorders>
            <w:noWrap/>
            <w:vAlign w:val="center"/>
            <w:hideMark/>
          </w:tcPr>
          <w:p w14:paraId="738B880E"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327BAE93" w14:textId="77777777" w:rsidTr="008C77A6">
        <w:trPr>
          <w:trHeight w:val="20"/>
        </w:trPr>
        <w:tc>
          <w:tcPr>
            <w:tcW w:w="3897" w:type="dxa"/>
            <w:gridSpan w:val="2"/>
            <w:tcBorders>
              <w:top w:val="nil"/>
              <w:left w:val="nil"/>
              <w:bottom w:val="nil"/>
              <w:right w:val="nil"/>
            </w:tcBorders>
            <w:noWrap/>
            <w:vAlign w:val="center"/>
            <w:hideMark/>
          </w:tcPr>
          <w:p w14:paraId="62061CA1" w14:textId="77777777" w:rsidR="00595900" w:rsidRPr="0056446B" w:rsidRDefault="00595900" w:rsidP="00595900">
            <w:pPr>
              <w:spacing w:after="0" w:line="240" w:lineRule="auto"/>
              <w:rPr>
                <w:rFonts w:ascii="Arial" w:hAnsi="Arial" w:cs="Arial"/>
                <w:b/>
                <w:bCs/>
                <w:sz w:val="20"/>
                <w:szCs w:val="20"/>
                <w:lang w:eastAsia="es-MX"/>
              </w:rPr>
            </w:pPr>
            <w:r w:rsidRPr="0056446B">
              <w:rPr>
                <w:rFonts w:ascii="Arial" w:hAnsi="Arial" w:cs="Arial"/>
                <w:b/>
                <w:bCs/>
                <w:sz w:val="20"/>
                <w:szCs w:val="20"/>
                <w:lang w:eastAsia="es-MX"/>
              </w:rPr>
              <w:t>Transferencias al Exterior</w:t>
            </w:r>
          </w:p>
        </w:tc>
        <w:tc>
          <w:tcPr>
            <w:tcW w:w="1874" w:type="dxa"/>
            <w:tcBorders>
              <w:top w:val="nil"/>
              <w:left w:val="nil"/>
              <w:bottom w:val="nil"/>
              <w:right w:val="nil"/>
            </w:tcBorders>
            <w:noWrap/>
            <w:vAlign w:val="center"/>
            <w:hideMark/>
          </w:tcPr>
          <w:p w14:paraId="1F853C6F" w14:textId="77777777" w:rsidR="00595900" w:rsidRPr="0056446B" w:rsidRDefault="00595900" w:rsidP="00595900">
            <w:pPr>
              <w:spacing w:after="0" w:line="240" w:lineRule="auto"/>
              <w:rPr>
                <w:rFonts w:ascii="Arial" w:hAnsi="Arial" w:cs="Arial"/>
                <w:b/>
                <w:bCs/>
                <w:sz w:val="20"/>
                <w:szCs w:val="20"/>
                <w:lang w:eastAsia="es-MX"/>
              </w:rPr>
            </w:pPr>
          </w:p>
        </w:tc>
        <w:tc>
          <w:tcPr>
            <w:tcW w:w="2451" w:type="dxa"/>
            <w:tcBorders>
              <w:top w:val="nil"/>
              <w:left w:val="nil"/>
              <w:bottom w:val="nil"/>
              <w:right w:val="nil"/>
            </w:tcBorders>
            <w:noWrap/>
            <w:vAlign w:val="center"/>
            <w:hideMark/>
          </w:tcPr>
          <w:p w14:paraId="556C3009" w14:textId="77777777" w:rsidR="00595900" w:rsidRPr="0056446B" w:rsidRDefault="00595900" w:rsidP="00595900">
            <w:pPr>
              <w:spacing w:after="0" w:line="240" w:lineRule="auto"/>
              <w:jc w:val="right"/>
              <w:rPr>
                <w:rFonts w:ascii="Arial" w:hAnsi="Arial" w:cs="Arial"/>
                <w:b/>
                <w:bCs/>
                <w:sz w:val="20"/>
                <w:szCs w:val="20"/>
                <w:lang w:eastAsia="es-MX"/>
              </w:rPr>
            </w:pPr>
            <w:r w:rsidRPr="0056446B">
              <w:rPr>
                <w:rFonts w:ascii="Arial" w:hAnsi="Arial" w:cs="Arial"/>
                <w:b/>
                <w:bCs/>
                <w:sz w:val="20"/>
                <w:szCs w:val="20"/>
                <w:lang w:eastAsia="es-MX"/>
              </w:rPr>
              <w:t>0.00</w:t>
            </w:r>
          </w:p>
        </w:tc>
      </w:tr>
      <w:tr w:rsidR="00595900" w:rsidRPr="005732FC" w14:paraId="22B53A2C" w14:textId="77777777" w:rsidTr="008C77A6">
        <w:trPr>
          <w:trHeight w:val="20"/>
        </w:trPr>
        <w:tc>
          <w:tcPr>
            <w:tcW w:w="5771" w:type="dxa"/>
            <w:gridSpan w:val="3"/>
            <w:tcBorders>
              <w:top w:val="nil"/>
              <w:left w:val="nil"/>
              <w:bottom w:val="nil"/>
              <w:right w:val="nil"/>
            </w:tcBorders>
            <w:vAlign w:val="center"/>
            <w:hideMark/>
          </w:tcPr>
          <w:p w14:paraId="4DE5070E"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Transferencias al Exterior a Gobiernos Extranjeros y Organismos Internacionales</w:t>
            </w:r>
          </w:p>
        </w:tc>
        <w:tc>
          <w:tcPr>
            <w:tcW w:w="2451" w:type="dxa"/>
            <w:tcBorders>
              <w:top w:val="nil"/>
              <w:left w:val="nil"/>
              <w:bottom w:val="nil"/>
              <w:right w:val="nil"/>
            </w:tcBorders>
            <w:noWrap/>
            <w:vAlign w:val="center"/>
            <w:hideMark/>
          </w:tcPr>
          <w:p w14:paraId="664C9321"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2B5F8D9D" w14:textId="77777777" w:rsidTr="008C77A6">
        <w:trPr>
          <w:trHeight w:val="20"/>
        </w:trPr>
        <w:tc>
          <w:tcPr>
            <w:tcW w:w="5771" w:type="dxa"/>
            <w:gridSpan w:val="3"/>
            <w:tcBorders>
              <w:top w:val="nil"/>
              <w:left w:val="nil"/>
              <w:bottom w:val="nil"/>
              <w:right w:val="nil"/>
            </w:tcBorders>
            <w:noWrap/>
            <w:vAlign w:val="center"/>
            <w:hideMark/>
          </w:tcPr>
          <w:p w14:paraId="1D857404" w14:textId="77777777" w:rsidR="00595900" w:rsidRPr="005732FC" w:rsidRDefault="00595900" w:rsidP="00595900">
            <w:pPr>
              <w:spacing w:after="0" w:line="240" w:lineRule="auto"/>
              <w:rPr>
                <w:rFonts w:ascii="Arial" w:hAnsi="Arial" w:cs="Arial"/>
                <w:sz w:val="20"/>
                <w:szCs w:val="20"/>
                <w:lang w:eastAsia="es-MX"/>
              </w:rPr>
            </w:pPr>
            <w:r w:rsidRPr="005732FC">
              <w:rPr>
                <w:rFonts w:ascii="Arial" w:hAnsi="Arial" w:cs="Arial"/>
                <w:sz w:val="20"/>
                <w:szCs w:val="20"/>
                <w:lang w:eastAsia="es-MX"/>
              </w:rPr>
              <w:t>Transferencias al Sector Privado Externo</w:t>
            </w:r>
          </w:p>
        </w:tc>
        <w:tc>
          <w:tcPr>
            <w:tcW w:w="2451" w:type="dxa"/>
            <w:tcBorders>
              <w:top w:val="nil"/>
              <w:left w:val="nil"/>
              <w:bottom w:val="nil"/>
              <w:right w:val="nil"/>
            </w:tcBorders>
            <w:noWrap/>
            <w:vAlign w:val="center"/>
            <w:hideMark/>
          </w:tcPr>
          <w:p w14:paraId="23C0829D" w14:textId="77777777" w:rsidR="00595900" w:rsidRPr="005732FC" w:rsidRDefault="00595900" w:rsidP="00595900">
            <w:pPr>
              <w:spacing w:after="0" w:line="240" w:lineRule="auto"/>
              <w:jc w:val="right"/>
              <w:rPr>
                <w:rFonts w:ascii="Arial" w:hAnsi="Arial" w:cs="Arial"/>
                <w:sz w:val="20"/>
                <w:szCs w:val="20"/>
                <w:lang w:eastAsia="es-MX"/>
              </w:rPr>
            </w:pPr>
            <w:r w:rsidRPr="005732FC">
              <w:rPr>
                <w:rFonts w:ascii="Arial" w:hAnsi="Arial" w:cs="Arial"/>
                <w:sz w:val="20"/>
                <w:szCs w:val="20"/>
                <w:lang w:eastAsia="es-MX"/>
              </w:rPr>
              <w:t>0.00</w:t>
            </w:r>
          </w:p>
        </w:tc>
      </w:tr>
      <w:tr w:rsidR="00595900" w:rsidRPr="005732FC" w14:paraId="3EE6CE16" w14:textId="77777777" w:rsidTr="008C77A6">
        <w:trPr>
          <w:trHeight w:val="60"/>
        </w:trPr>
        <w:tc>
          <w:tcPr>
            <w:tcW w:w="5771" w:type="dxa"/>
            <w:gridSpan w:val="3"/>
            <w:tcBorders>
              <w:top w:val="single" w:sz="8" w:space="0" w:color="auto"/>
              <w:left w:val="nil"/>
              <w:bottom w:val="single" w:sz="8" w:space="0" w:color="auto"/>
              <w:right w:val="nil"/>
            </w:tcBorders>
            <w:shd w:val="clear" w:color="000000" w:fill="D9D9D9"/>
            <w:vAlign w:val="center"/>
            <w:hideMark/>
          </w:tcPr>
          <w:p w14:paraId="0BC88BF1" w14:textId="77777777" w:rsidR="00595900" w:rsidRPr="005732FC" w:rsidRDefault="00595900" w:rsidP="00595900">
            <w:pPr>
              <w:spacing w:after="0" w:line="240" w:lineRule="auto"/>
              <w:rPr>
                <w:rFonts w:ascii="Arial" w:hAnsi="Arial" w:cs="Arial"/>
                <w:b/>
                <w:bCs/>
                <w:sz w:val="20"/>
                <w:szCs w:val="20"/>
                <w:lang w:eastAsia="es-MX"/>
              </w:rPr>
            </w:pPr>
            <w:r w:rsidRPr="005732FC">
              <w:rPr>
                <w:rFonts w:ascii="Arial" w:hAnsi="Arial" w:cs="Arial"/>
                <w:b/>
                <w:bCs/>
                <w:sz w:val="20"/>
                <w:szCs w:val="20"/>
                <w:lang w:eastAsia="es-MX"/>
              </w:rPr>
              <w:t>Total, de Transferencias, Asignaciones, Subsidios y Otras Ayudas</w:t>
            </w:r>
          </w:p>
        </w:tc>
        <w:tc>
          <w:tcPr>
            <w:tcW w:w="2451" w:type="dxa"/>
            <w:tcBorders>
              <w:top w:val="single" w:sz="8" w:space="0" w:color="auto"/>
              <w:left w:val="nil"/>
              <w:bottom w:val="single" w:sz="8" w:space="0" w:color="auto"/>
              <w:right w:val="nil"/>
            </w:tcBorders>
            <w:shd w:val="clear" w:color="000000" w:fill="D9D9D9"/>
            <w:noWrap/>
            <w:vAlign w:val="center"/>
            <w:hideMark/>
          </w:tcPr>
          <w:p w14:paraId="27AD501A" w14:textId="77777777" w:rsidR="00595900" w:rsidRPr="005732FC" w:rsidRDefault="00595900" w:rsidP="00595900">
            <w:pPr>
              <w:spacing w:after="0" w:line="240" w:lineRule="auto"/>
              <w:jc w:val="right"/>
              <w:rPr>
                <w:rFonts w:ascii="Arial" w:hAnsi="Arial" w:cs="Arial"/>
                <w:b/>
                <w:bCs/>
                <w:sz w:val="20"/>
                <w:szCs w:val="20"/>
              </w:rPr>
            </w:pPr>
            <w:r w:rsidRPr="005732FC">
              <w:rPr>
                <w:rFonts w:ascii="Arial" w:hAnsi="Arial" w:cs="Arial"/>
                <w:b/>
                <w:bCs/>
                <w:sz w:val="20"/>
                <w:szCs w:val="20"/>
              </w:rPr>
              <w:t>979,171,866.93</w:t>
            </w:r>
          </w:p>
        </w:tc>
      </w:tr>
    </w:tbl>
    <w:p w14:paraId="209DD27F" w14:textId="77777777" w:rsidR="00DD5D6F" w:rsidRPr="005732FC" w:rsidRDefault="00DD5D6F" w:rsidP="006D77B0">
      <w:pPr>
        <w:spacing w:after="0"/>
        <w:jc w:val="both"/>
        <w:rPr>
          <w:rFonts w:ascii="Arial" w:hAnsi="Arial" w:cs="Arial"/>
          <w:sz w:val="20"/>
          <w:szCs w:val="20"/>
        </w:rPr>
      </w:pPr>
    </w:p>
    <w:p w14:paraId="33973370" w14:textId="424CCA9B" w:rsidR="002A33A1" w:rsidRPr="005732FC" w:rsidRDefault="00BA3347" w:rsidP="002A33A1">
      <w:pPr>
        <w:pStyle w:val="Ttulo2"/>
        <w:ind w:hanging="284"/>
        <w:rPr>
          <w:rFonts w:ascii="Arial" w:hAnsi="Arial" w:cs="Arial"/>
          <w:b/>
          <w:bCs/>
          <w:sz w:val="20"/>
          <w:szCs w:val="20"/>
        </w:rPr>
      </w:pPr>
      <w:r w:rsidRPr="005732FC">
        <w:rPr>
          <w:rFonts w:ascii="Arial" w:hAnsi="Arial" w:cs="Arial"/>
          <w:b/>
          <w:bCs/>
          <w:color w:val="auto"/>
          <w:sz w:val="20"/>
          <w:szCs w:val="20"/>
        </w:rPr>
        <w:t>2.</w:t>
      </w:r>
      <w:r w:rsidR="000139DB" w:rsidRPr="005732FC">
        <w:rPr>
          <w:rFonts w:ascii="Arial" w:hAnsi="Arial" w:cs="Arial"/>
          <w:b/>
          <w:bCs/>
          <w:color w:val="auto"/>
          <w:sz w:val="20"/>
          <w:szCs w:val="20"/>
        </w:rPr>
        <w:t>3</w:t>
      </w:r>
      <w:r w:rsidR="002A33A1" w:rsidRPr="005732FC">
        <w:rPr>
          <w:rFonts w:ascii="Arial" w:hAnsi="Arial" w:cs="Arial"/>
          <w:b/>
          <w:bCs/>
          <w:color w:val="auto"/>
          <w:sz w:val="20"/>
          <w:szCs w:val="20"/>
        </w:rPr>
        <w:t xml:space="preserve"> Intereses, Comisiones y Otros Gastos de la Deuda Pública</w:t>
      </w:r>
      <w:r w:rsidR="002A33A1" w:rsidRPr="005732FC">
        <w:rPr>
          <w:rFonts w:ascii="Arial" w:hAnsi="Arial" w:cs="Arial"/>
          <w:b/>
          <w:bCs/>
          <w:sz w:val="20"/>
          <w:szCs w:val="20"/>
        </w:rPr>
        <w:tab/>
      </w:r>
      <w:r w:rsidR="002A33A1" w:rsidRPr="005732FC">
        <w:rPr>
          <w:rFonts w:ascii="Arial" w:hAnsi="Arial" w:cs="Arial"/>
          <w:b/>
          <w:bCs/>
          <w:sz w:val="20"/>
          <w:szCs w:val="20"/>
        </w:rPr>
        <w:tab/>
      </w:r>
      <w:r w:rsidR="002A33A1" w:rsidRPr="005732FC">
        <w:rPr>
          <w:rFonts w:ascii="Arial" w:hAnsi="Arial" w:cs="Arial"/>
          <w:b/>
          <w:bCs/>
          <w:sz w:val="20"/>
          <w:szCs w:val="20"/>
        </w:rPr>
        <w:tab/>
      </w:r>
      <w:r w:rsidR="002A33A1" w:rsidRPr="005732FC">
        <w:rPr>
          <w:rFonts w:ascii="Arial" w:hAnsi="Arial" w:cs="Arial"/>
          <w:b/>
          <w:bCs/>
          <w:sz w:val="20"/>
          <w:szCs w:val="20"/>
        </w:rPr>
        <w:tab/>
      </w:r>
      <w:r w:rsidR="002A33A1" w:rsidRPr="005732FC">
        <w:rPr>
          <w:rFonts w:ascii="Arial" w:hAnsi="Arial" w:cs="Arial"/>
          <w:b/>
          <w:bCs/>
          <w:sz w:val="20"/>
          <w:szCs w:val="20"/>
        </w:rPr>
        <w:tab/>
      </w:r>
      <w:r w:rsidR="002A33A1" w:rsidRPr="005732FC">
        <w:rPr>
          <w:rFonts w:ascii="Arial" w:hAnsi="Arial" w:cs="Arial"/>
          <w:b/>
          <w:bCs/>
          <w:sz w:val="20"/>
          <w:szCs w:val="20"/>
        </w:rPr>
        <w:tab/>
      </w:r>
      <w:r w:rsidR="002A33A1" w:rsidRPr="005732FC">
        <w:rPr>
          <w:rFonts w:ascii="Arial" w:hAnsi="Arial" w:cs="Arial"/>
          <w:b/>
          <w:bCs/>
          <w:sz w:val="20"/>
          <w:szCs w:val="20"/>
        </w:rPr>
        <w:tab/>
      </w:r>
      <w:r w:rsidR="002A33A1" w:rsidRPr="005732FC">
        <w:rPr>
          <w:rFonts w:ascii="Arial" w:hAnsi="Arial" w:cs="Arial"/>
          <w:b/>
          <w:bCs/>
          <w:sz w:val="20"/>
          <w:szCs w:val="20"/>
        </w:rPr>
        <w:tab/>
      </w:r>
    </w:p>
    <w:p w14:paraId="4A9D1EBD" w14:textId="77777777" w:rsidR="002A33A1" w:rsidRPr="005732FC" w:rsidRDefault="002A33A1" w:rsidP="002A33A1">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8B10457" w14:textId="77777777" w:rsidR="002A33A1" w:rsidRPr="005732FC" w:rsidRDefault="002A33A1" w:rsidP="002A33A1">
      <w:pPr>
        <w:spacing w:after="0"/>
        <w:jc w:val="both"/>
        <w:rPr>
          <w:rFonts w:ascii="Arial" w:hAnsi="Arial" w:cs="Arial"/>
          <w:sz w:val="20"/>
          <w:szCs w:val="20"/>
        </w:rPr>
      </w:pPr>
      <w:bookmarkStart w:id="3" w:name="_Hlk165407717"/>
      <w:r w:rsidRPr="005732FC">
        <w:rPr>
          <w:rFonts w:ascii="Arial" w:hAnsi="Arial" w:cs="Arial"/>
          <w:sz w:val="20"/>
          <w:szCs w:val="20"/>
        </w:rPr>
        <w:t>Los intereses, comisiones y otros gastos de la deuda pública comprenden el importe del gasto derivado de los diversos créditos o financiamientos contratados a largo plazo con instituciones nacionales y extranjeras, privadas y mixtas de crédito y con otros acreedores. Su saldo al 30 de junio de 2025 se integra de la siguiente manera:</w:t>
      </w:r>
      <w:bookmarkEnd w:id="3"/>
      <w:r w:rsidRPr="005732FC">
        <w:rPr>
          <w:rFonts w:ascii="Arial" w:hAnsi="Arial" w:cs="Arial"/>
          <w:sz w:val="20"/>
          <w:szCs w:val="20"/>
        </w:rPr>
        <w:tab/>
      </w:r>
    </w:p>
    <w:p w14:paraId="10228E84" w14:textId="644CEF5D" w:rsidR="00400F19" w:rsidRPr="005732FC" w:rsidRDefault="002A33A1" w:rsidP="002A33A1">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7655" w:type="dxa"/>
        <w:tblCellMar>
          <w:left w:w="70" w:type="dxa"/>
          <w:right w:w="70" w:type="dxa"/>
        </w:tblCellMar>
        <w:tblLook w:val="04A0" w:firstRow="1" w:lastRow="0" w:firstColumn="1" w:lastColumn="0" w:noHBand="0" w:noVBand="1"/>
      </w:tblPr>
      <w:tblGrid>
        <w:gridCol w:w="3969"/>
        <w:gridCol w:w="993"/>
        <w:gridCol w:w="425"/>
        <w:gridCol w:w="2268"/>
      </w:tblGrid>
      <w:tr w:rsidR="002A33A1" w:rsidRPr="005732FC" w14:paraId="6E6B7192" w14:textId="77777777" w:rsidTr="008C77A6">
        <w:trPr>
          <w:trHeight w:val="20"/>
          <w:tblHeader/>
        </w:trPr>
        <w:tc>
          <w:tcPr>
            <w:tcW w:w="5387" w:type="dxa"/>
            <w:gridSpan w:val="3"/>
            <w:tcBorders>
              <w:top w:val="single" w:sz="8" w:space="0" w:color="auto"/>
              <w:left w:val="nil"/>
              <w:bottom w:val="single" w:sz="8" w:space="0" w:color="auto"/>
              <w:right w:val="nil"/>
            </w:tcBorders>
            <w:shd w:val="clear" w:color="000000" w:fill="D9D9D9"/>
            <w:vAlign w:val="center"/>
            <w:hideMark/>
          </w:tcPr>
          <w:p w14:paraId="3DAA88C0" w14:textId="77777777" w:rsidR="002A33A1" w:rsidRPr="005732FC" w:rsidRDefault="002A33A1"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Concepto   </w:t>
            </w:r>
          </w:p>
        </w:tc>
        <w:tc>
          <w:tcPr>
            <w:tcW w:w="2268" w:type="dxa"/>
            <w:tcBorders>
              <w:top w:val="single" w:sz="8" w:space="0" w:color="auto"/>
              <w:left w:val="nil"/>
              <w:bottom w:val="single" w:sz="8" w:space="0" w:color="auto"/>
              <w:right w:val="nil"/>
            </w:tcBorders>
            <w:shd w:val="clear" w:color="000000" w:fill="D9D9D9"/>
            <w:noWrap/>
            <w:vAlign w:val="center"/>
            <w:hideMark/>
          </w:tcPr>
          <w:p w14:paraId="524CFBF9" w14:textId="77777777" w:rsidR="002A33A1" w:rsidRPr="005732FC" w:rsidRDefault="002A33A1"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r>
      <w:tr w:rsidR="002A33A1" w:rsidRPr="005732FC" w14:paraId="2683313B" w14:textId="77777777" w:rsidTr="008C77A6">
        <w:trPr>
          <w:trHeight w:val="20"/>
        </w:trPr>
        <w:tc>
          <w:tcPr>
            <w:tcW w:w="3969" w:type="dxa"/>
            <w:tcBorders>
              <w:top w:val="single" w:sz="8" w:space="0" w:color="auto"/>
              <w:left w:val="nil"/>
              <w:bottom w:val="nil"/>
              <w:right w:val="nil"/>
            </w:tcBorders>
            <w:shd w:val="clear" w:color="auto" w:fill="auto"/>
            <w:noWrap/>
            <w:vAlign w:val="center"/>
            <w:hideMark/>
          </w:tcPr>
          <w:p w14:paraId="2AF0E062" w14:textId="77777777" w:rsidR="002A33A1" w:rsidRPr="005732FC" w:rsidRDefault="002A33A1"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Intereses de la Deuda Pública</w:t>
            </w:r>
          </w:p>
        </w:tc>
        <w:tc>
          <w:tcPr>
            <w:tcW w:w="993" w:type="dxa"/>
            <w:tcBorders>
              <w:top w:val="nil"/>
              <w:left w:val="nil"/>
              <w:bottom w:val="nil"/>
              <w:right w:val="nil"/>
            </w:tcBorders>
            <w:shd w:val="clear" w:color="auto" w:fill="auto"/>
            <w:noWrap/>
            <w:vAlign w:val="center"/>
            <w:hideMark/>
          </w:tcPr>
          <w:p w14:paraId="75DCCA44" w14:textId="77777777" w:rsidR="002A33A1" w:rsidRPr="005732FC" w:rsidRDefault="002A33A1"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693" w:type="dxa"/>
            <w:gridSpan w:val="2"/>
            <w:tcBorders>
              <w:top w:val="nil"/>
              <w:left w:val="nil"/>
              <w:bottom w:val="nil"/>
              <w:right w:val="nil"/>
            </w:tcBorders>
            <w:shd w:val="clear" w:color="auto" w:fill="auto"/>
            <w:noWrap/>
            <w:vAlign w:val="center"/>
            <w:hideMark/>
          </w:tcPr>
          <w:p w14:paraId="32489B86" w14:textId="77777777" w:rsidR="002A33A1" w:rsidRPr="005732FC" w:rsidRDefault="002A33A1"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42,241,947.90 </w:t>
            </w:r>
          </w:p>
        </w:tc>
      </w:tr>
      <w:tr w:rsidR="002A33A1" w:rsidRPr="005732FC" w14:paraId="0B5012C5" w14:textId="77777777" w:rsidTr="008C77A6">
        <w:trPr>
          <w:trHeight w:val="20"/>
        </w:trPr>
        <w:tc>
          <w:tcPr>
            <w:tcW w:w="3969" w:type="dxa"/>
            <w:tcBorders>
              <w:top w:val="nil"/>
              <w:left w:val="nil"/>
              <w:bottom w:val="nil"/>
              <w:right w:val="nil"/>
            </w:tcBorders>
            <w:shd w:val="clear" w:color="auto" w:fill="auto"/>
            <w:noWrap/>
            <w:vAlign w:val="center"/>
            <w:hideMark/>
          </w:tcPr>
          <w:p w14:paraId="12047E33" w14:textId="77777777" w:rsidR="002A33A1" w:rsidRPr="005732FC" w:rsidRDefault="002A33A1"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Intereses de la Deuda Pública Interna</w:t>
            </w:r>
          </w:p>
        </w:tc>
        <w:tc>
          <w:tcPr>
            <w:tcW w:w="993" w:type="dxa"/>
            <w:tcBorders>
              <w:top w:val="nil"/>
              <w:left w:val="nil"/>
              <w:bottom w:val="nil"/>
              <w:right w:val="nil"/>
            </w:tcBorders>
            <w:shd w:val="clear" w:color="auto" w:fill="auto"/>
            <w:noWrap/>
            <w:vAlign w:val="center"/>
            <w:hideMark/>
          </w:tcPr>
          <w:p w14:paraId="516A353B" w14:textId="77777777" w:rsidR="002A33A1" w:rsidRPr="005732FC" w:rsidRDefault="002A33A1" w:rsidP="008C77A6">
            <w:pPr>
              <w:spacing w:after="0" w:line="240" w:lineRule="auto"/>
              <w:rPr>
                <w:rFonts w:ascii="Arial" w:eastAsia="Times New Roman" w:hAnsi="Arial" w:cs="Arial"/>
                <w:color w:val="000000"/>
                <w:kern w:val="0"/>
                <w:sz w:val="20"/>
                <w:szCs w:val="20"/>
                <w:lang w:eastAsia="es-MX"/>
                <w14:ligatures w14:val="none"/>
              </w:rPr>
            </w:pPr>
          </w:p>
        </w:tc>
        <w:tc>
          <w:tcPr>
            <w:tcW w:w="2693" w:type="dxa"/>
            <w:gridSpan w:val="2"/>
            <w:tcBorders>
              <w:top w:val="nil"/>
              <w:left w:val="nil"/>
              <w:bottom w:val="nil"/>
              <w:right w:val="nil"/>
            </w:tcBorders>
            <w:shd w:val="clear" w:color="auto" w:fill="auto"/>
            <w:noWrap/>
            <w:vAlign w:val="center"/>
            <w:hideMark/>
          </w:tcPr>
          <w:p w14:paraId="7288F5F1" w14:textId="77777777" w:rsidR="002A33A1" w:rsidRPr="005732FC" w:rsidRDefault="002A33A1"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42,241,947.90 </w:t>
            </w:r>
          </w:p>
        </w:tc>
      </w:tr>
      <w:tr w:rsidR="002A33A1" w:rsidRPr="005732FC" w14:paraId="4882C66D" w14:textId="77777777" w:rsidTr="008C77A6">
        <w:trPr>
          <w:trHeight w:val="20"/>
        </w:trPr>
        <w:tc>
          <w:tcPr>
            <w:tcW w:w="3969" w:type="dxa"/>
            <w:tcBorders>
              <w:top w:val="nil"/>
              <w:left w:val="nil"/>
              <w:bottom w:val="nil"/>
              <w:right w:val="nil"/>
            </w:tcBorders>
            <w:shd w:val="clear" w:color="auto" w:fill="auto"/>
            <w:noWrap/>
            <w:vAlign w:val="center"/>
            <w:hideMark/>
          </w:tcPr>
          <w:p w14:paraId="19ECB88E" w14:textId="77777777" w:rsidR="002A33A1" w:rsidRPr="005732FC" w:rsidRDefault="002A33A1"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Comisiones de la Deuda Pública</w:t>
            </w:r>
          </w:p>
        </w:tc>
        <w:tc>
          <w:tcPr>
            <w:tcW w:w="993" w:type="dxa"/>
            <w:tcBorders>
              <w:top w:val="nil"/>
              <w:left w:val="nil"/>
              <w:bottom w:val="nil"/>
              <w:right w:val="nil"/>
            </w:tcBorders>
            <w:shd w:val="clear" w:color="auto" w:fill="auto"/>
            <w:noWrap/>
            <w:vAlign w:val="center"/>
            <w:hideMark/>
          </w:tcPr>
          <w:p w14:paraId="2970E0C6" w14:textId="77777777" w:rsidR="002A33A1" w:rsidRPr="005732FC" w:rsidRDefault="002A33A1" w:rsidP="008C77A6">
            <w:pPr>
              <w:spacing w:after="0" w:line="240" w:lineRule="auto"/>
              <w:rPr>
                <w:rFonts w:ascii="Arial" w:eastAsia="Times New Roman" w:hAnsi="Arial" w:cs="Arial"/>
                <w:b/>
                <w:bCs/>
                <w:color w:val="000000"/>
                <w:kern w:val="0"/>
                <w:sz w:val="20"/>
                <w:szCs w:val="20"/>
                <w:lang w:eastAsia="es-MX"/>
                <w14:ligatures w14:val="none"/>
              </w:rPr>
            </w:pPr>
          </w:p>
        </w:tc>
        <w:tc>
          <w:tcPr>
            <w:tcW w:w="2693" w:type="dxa"/>
            <w:gridSpan w:val="2"/>
            <w:tcBorders>
              <w:top w:val="nil"/>
              <w:left w:val="nil"/>
              <w:bottom w:val="nil"/>
              <w:right w:val="nil"/>
            </w:tcBorders>
            <w:shd w:val="clear" w:color="auto" w:fill="auto"/>
            <w:noWrap/>
            <w:vAlign w:val="center"/>
            <w:hideMark/>
          </w:tcPr>
          <w:p w14:paraId="6A6BE6D1" w14:textId="77777777" w:rsidR="002A33A1" w:rsidRPr="005732FC" w:rsidRDefault="002A33A1"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0.00</w:t>
            </w:r>
          </w:p>
        </w:tc>
      </w:tr>
      <w:tr w:rsidR="002A33A1" w:rsidRPr="005732FC" w14:paraId="467A0113" w14:textId="77777777" w:rsidTr="008C77A6">
        <w:trPr>
          <w:trHeight w:val="20"/>
        </w:trPr>
        <w:tc>
          <w:tcPr>
            <w:tcW w:w="3969" w:type="dxa"/>
            <w:tcBorders>
              <w:top w:val="nil"/>
              <w:left w:val="nil"/>
              <w:bottom w:val="nil"/>
              <w:right w:val="nil"/>
            </w:tcBorders>
            <w:shd w:val="clear" w:color="auto" w:fill="auto"/>
            <w:noWrap/>
            <w:vAlign w:val="center"/>
            <w:hideMark/>
          </w:tcPr>
          <w:p w14:paraId="5C033004" w14:textId="77777777" w:rsidR="002A33A1" w:rsidRPr="005732FC" w:rsidRDefault="002A33A1"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Gastos de la Deuda Pública</w:t>
            </w:r>
          </w:p>
        </w:tc>
        <w:tc>
          <w:tcPr>
            <w:tcW w:w="993" w:type="dxa"/>
            <w:tcBorders>
              <w:top w:val="nil"/>
              <w:left w:val="nil"/>
              <w:bottom w:val="nil"/>
              <w:right w:val="nil"/>
            </w:tcBorders>
            <w:shd w:val="clear" w:color="auto" w:fill="auto"/>
            <w:noWrap/>
            <w:vAlign w:val="center"/>
            <w:hideMark/>
          </w:tcPr>
          <w:p w14:paraId="0156034A" w14:textId="77777777" w:rsidR="002A33A1" w:rsidRPr="005732FC" w:rsidRDefault="002A33A1" w:rsidP="008C77A6">
            <w:pPr>
              <w:spacing w:after="0" w:line="240" w:lineRule="auto"/>
              <w:rPr>
                <w:rFonts w:ascii="Arial" w:eastAsia="Times New Roman" w:hAnsi="Arial" w:cs="Arial"/>
                <w:b/>
                <w:bCs/>
                <w:color w:val="000000"/>
                <w:kern w:val="0"/>
                <w:sz w:val="20"/>
                <w:szCs w:val="20"/>
                <w:lang w:eastAsia="es-MX"/>
                <w14:ligatures w14:val="none"/>
              </w:rPr>
            </w:pPr>
          </w:p>
        </w:tc>
        <w:tc>
          <w:tcPr>
            <w:tcW w:w="2693" w:type="dxa"/>
            <w:gridSpan w:val="2"/>
            <w:tcBorders>
              <w:top w:val="nil"/>
              <w:left w:val="nil"/>
              <w:bottom w:val="nil"/>
              <w:right w:val="nil"/>
            </w:tcBorders>
            <w:shd w:val="clear" w:color="auto" w:fill="auto"/>
            <w:noWrap/>
            <w:vAlign w:val="center"/>
            <w:hideMark/>
          </w:tcPr>
          <w:p w14:paraId="5BC8EEB2" w14:textId="77777777" w:rsidR="002A33A1" w:rsidRPr="005732FC" w:rsidRDefault="002A33A1"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0.00</w:t>
            </w:r>
          </w:p>
        </w:tc>
      </w:tr>
      <w:tr w:rsidR="002A33A1" w:rsidRPr="005732FC" w14:paraId="34129BB2" w14:textId="77777777" w:rsidTr="008C77A6">
        <w:trPr>
          <w:trHeight w:val="20"/>
        </w:trPr>
        <w:tc>
          <w:tcPr>
            <w:tcW w:w="3969" w:type="dxa"/>
            <w:tcBorders>
              <w:top w:val="nil"/>
              <w:left w:val="nil"/>
              <w:bottom w:val="nil"/>
              <w:right w:val="nil"/>
            </w:tcBorders>
            <w:shd w:val="clear" w:color="auto" w:fill="auto"/>
            <w:noWrap/>
            <w:vAlign w:val="center"/>
            <w:hideMark/>
          </w:tcPr>
          <w:p w14:paraId="5188161C" w14:textId="77777777" w:rsidR="002A33A1" w:rsidRPr="005732FC" w:rsidRDefault="002A33A1"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Costo por Coberturas</w:t>
            </w:r>
          </w:p>
        </w:tc>
        <w:tc>
          <w:tcPr>
            <w:tcW w:w="993" w:type="dxa"/>
            <w:tcBorders>
              <w:top w:val="nil"/>
              <w:left w:val="nil"/>
              <w:bottom w:val="nil"/>
              <w:right w:val="nil"/>
            </w:tcBorders>
            <w:shd w:val="clear" w:color="auto" w:fill="auto"/>
            <w:noWrap/>
            <w:vAlign w:val="center"/>
            <w:hideMark/>
          </w:tcPr>
          <w:p w14:paraId="6CC512B3" w14:textId="77777777" w:rsidR="002A33A1" w:rsidRPr="005732FC" w:rsidRDefault="002A33A1" w:rsidP="008C77A6">
            <w:pPr>
              <w:spacing w:after="0" w:line="240" w:lineRule="auto"/>
              <w:rPr>
                <w:rFonts w:ascii="Arial" w:eastAsia="Times New Roman" w:hAnsi="Arial" w:cs="Arial"/>
                <w:b/>
                <w:bCs/>
                <w:color w:val="000000"/>
                <w:kern w:val="0"/>
                <w:sz w:val="20"/>
                <w:szCs w:val="20"/>
                <w:lang w:eastAsia="es-MX"/>
                <w14:ligatures w14:val="none"/>
              </w:rPr>
            </w:pPr>
          </w:p>
        </w:tc>
        <w:tc>
          <w:tcPr>
            <w:tcW w:w="2693" w:type="dxa"/>
            <w:gridSpan w:val="2"/>
            <w:tcBorders>
              <w:top w:val="nil"/>
              <w:left w:val="nil"/>
              <w:bottom w:val="nil"/>
              <w:right w:val="nil"/>
            </w:tcBorders>
            <w:shd w:val="clear" w:color="auto" w:fill="auto"/>
            <w:noWrap/>
            <w:vAlign w:val="center"/>
            <w:hideMark/>
          </w:tcPr>
          <w:p w14:paraId="5F6B57C2" w14:textId="77777777" w:rsidR="002A33A1" w:rsidRPr="005732FC" w:rsidRDefault="002A33A1"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0.00</w:t>
            </w:r>
          </w:p>
        </w:tc>
      </w:tr>
      <w:tr w:rsidR="002A33A1" w:rsidRPr="005732FC" w14:paraId="4D6B3331" w14:textId="77777777" w:rsidTr="008C77A6">
        <w:trPr>
          <w:trHeight w:val="20"/>
        </w:trPr>
        <w:tc>
          <w:tcPr>
            <w:tcW w:w="3969" w:type="dxa"/>
            <w:tcBorders>
              <w:top w:val="nil"/>
              <w:left w:val="nil"/>
              <w:bottom w:val="single" w:sz="4" w:space="0" w:color="auto"/>
              <w:right w:val="nil"/>
            </w:tcBorders>
            <w:shd w:val="clear" w:color="auto" w:fill="auto"/>
            <w:noWrap/>
            <w:vAlign w:val="center"/>
            <w:hideMark/>
          </w:tcPr>
          <w:p w14:paraId="48EBDCEC" w14:textId="77777777" w:rsidR="002A33A1" w:rsidRPr="005732FC" w:rsidRDefault="002A33A1"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Apoyos Financieros</w:t>
            </w:r>
          </w:p>
        </w:tc>
        <w:tc>
          <w:tcPr>
            <w:tcW w:w="993" w:type="dxa"/>
            <w:tcBorders>
              <w:top w:val="nil"/>
              <w:left w:val="nil"/>
              <w:bottom w:val="single" w:sz="4" w:space="0" w:color="auto"/>
              <w:right w:val="nil"/>
            </w:tcBorders>
            <w:shd w:val="clear" w:color="auto" w:fill="auto"/>
            <w:noWrap/>
            <w:vAlign w:val="center"/>
            <w:hideMark/>
          </w:tcPr>
          <w:p w14:paraId="1B871ABC" w14:textId="77777777" w:rsidR="002A33A1" w:rsidRPr="005732FC" w:rsidRDefault="002A33A1"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w:t>
            </w:r>
          </w:p>
        </w:tc>
        <w:tc>
          <w:tcPr>
            <w:tcW w:w="2693" w:type="dxa"/>
            <w:gridSpan w:val="2"/>
            <w:tcBorders>
              <w:top w:val="nil"/>
              <w:left w:val="nil"/>
              <w:bottom w:val="single" w:sz="4" w:space="0" w:color="auto"/>
              <w:right w:val="nil"/>
            </w:tcBorders>
            <w:shd w:val="clear" w:color="auto" w:fill="auto"/>
            <w:noWrap/>
            <w:vAlign w:val="center"/>
            <w:hideMark/>
          </w:tcPr>
          <w:p w14:paraId="29195F56" w14:textId="77777777" w:rsidR="002A33A1" w:rsidRPr="005732FC" w:rsidRDefault="002A33A1"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0.00</w:t>
            </w:r>
          </w:p>
        </w:tc>
      </w:tr>
      <w:tr w:rsidR="002A33A1" w:rsidRPr="005732FC" w14:paraId="395F0123" w14:textId="77777777" w:rsidTr="008C77A6">
        <w:trPr>
          <w:trHeight w:val="20"/>
        </w:trPr>
        <w:tc>
          <w:tcPr>
            <w:tcW w:w="4962" w:type="dxa"/>
            <w:gridSpan w:val="2"/>
            <w:tcBorders>
              <w:top w:val="single" w:sz="4" w:space="0" w:color="auto"/>
              <w:left w:val="nil"/>
              <w:bottom w:val="single" w:sz="4" w:space="0" w:color="auto"/>
              <w:right w:val="nil"/>
            </w:tcBorders>
            <w:shd w:val="clear" w:color="000000" w:fill="D9D9D9"/>
            <w:vAlign w:val="center"/>
            <w:hideMark/>
          </w:tcPr>
          <w:p w14:paraId="2497CD8C" w14:textId="77777777" w:rsidR="002A33A1" w:rsidRPr="005732FC" w:rsidRDefault="002A33A1" w:rsidP="008C77A6">
            <w:pPr>
              <w:spacing w:after="0" w:line="240" w:lineRule="auto"/>
              <w:rPr>
                <w:rFonts w:ascii="Arial" w:eastAsia="Times New Roman" w:hAnsi="Arial" w:cs="Arial"/>
                <w:b/>
                <w:bCs/>
                <w:color w:val="000000"/>
                <w:kern w:val="0"/>
                <w:sz w:val="20"/>
                <w:szCs w:val="20"/>
                <w:lang w:eastAsia="es-MX"/>
                <w14:ligatures w14:val="none"/>
              </w:rPr>
            </w:pPr>
            <w:proofErr w:type="gramStart"/>
            <w:r w:rsidRPr="005732FC">
              <w:rPr>
                <w:rFonts w:ascii="Arial" w:eastAsia="Times New Roman" w:hAnsi="Arial" w:cs="Arial"/>
                <w:b/>
                <w:bCs/>
                <w:color w:val="000000"/>
                <w:kern w:val="0"/>
                <w:sz w:val="20"/>
                <w:szCs w:val="20"/>
                <w:lang w:eastAsia="es-MX"/>
                <w14:ligatures w14:val="none"/>
              </w:rPr>
              <w:t>Total</w:t>
            </w:r>
            <w:proofErr w:type="gramEnd"/>
            <w:r w:rsidRPr="005732FC">
              <w:rPr>
                <w:rFonts w:ascii="Arial" w:eastAsia="Times New Roman" w:hAnsi="Arial" w:cs="Arial"/>
                <w:b/>
                <w:bCs/>
                <w:color w:val="000000"/>
                <w:kern w:val="0"/>
                <w:sz w:val="20"/>
                <w:szCs w:val="20"/>
                <w:lang w:eastAsia="es-MX"/>
                <w14:ligatures w14:val="none"/>
              </w:rPr>
              <w:t xml:space="preserve"> Intereses, Comisiones y Otros Gastos de la Deuda Pública</w:t>
            </w:r>
          </w:p>
        </w:tc>
        <w:tc>
          <w:tcPr>
            <w:tcW w:w="2693" w:type="dxa"/>
            <w:gridSpan w:val="2"/>
            <w:tcBorders>
              <w:top w:val="single" w:sz="4" w:space="0" w:color="auto"/>
              <w:left w:val="nil"/>
              <w:bottom w:val="single" w:sz="4" w:space="0" w:color="auto"/>
              <w:right w:val="nil"/>
            </w:tcBorders>
            <w:shd w:val="clear" w:color="000000" w:fill="D9D9D9"/>
            <w:vAlign w:val="center"/>
            <w:hideMark/>
          </w:tcPr>
          <w:p w14:paraId="6EB5392A" w14:textId="77777777" w:rsidR="002A33A1" w:rsidRPr="005732FC" w:rsidRDefault="002A33A1"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42,241,947.90 </w:t>
            </w:r>
          </w:p>
        </w:tc>
      </w:tr>
    </w:tbl>
    <w:p w14:paraId="6306079A" w14:textId="77777777" w:rsidR="00297367" w:rsidRPr="005732FC" w:rsidRDefault="00297367" w:rsidP="005D2B3E">
      <w:pPr>
        <w:spacing w:after="0"/>
        <w:jc w:val="both"/>
        <w:rPr>
          <w:rFonts w:ascii="Arial" w:hAnsi="Arial" w:cs="Arial"/>
          <w:sz w:val="20"/>
          <w:szCs w:val="20"/>
        </w:rPr>
      </w:pPr>
    </w:p>
    <w:p w14:paraId="623DD0EF" w14:textId="6CA74D20" w:rsidR="00713523" w:rsidRPr="005732FC" w:rsidRDefault="00BA3347" w:rsidP="00713523">
      <w:pPr>
        <w:pStyle w:val="Ttulo2"/>
        <w:ind w:hanging="284"/>
        <w:rPr>
          <w:rFonts w:ascii="Arial" w:hAnsi="Arial" w:cs="Arial"/>
          <w:b/>
          <w:bCs/>
          <w:sz w:val="20"/>
          <w:szCs w:val="20"/>
        </w:rPr>
      </w:pPr>
      <w:r w:rsidRPr="005732FC">
        <w:rPr>
          <w:rFonts w:ascii="Arial" w:hAnsi="Arial" w:cs="Arial"/>
          <w:b/>
          <w:bCs/>
          <w:color w:val="auto"/>
          <w:sz w:val="20"/>
          <w:szCs w:val="20"/>
        </w:rPr>
        <w:t>2.</w:t>
      </w:r>
      <w:r w:rsidR="002A33A1" w:rsidRPr="005732FC">
        <w:rPr>
          <w:rFonts w:ascii="Arial" w:hAnsi="Arial" w:cs="Arial"/>
          <w:b/>
          <w:bCs/>
          <w:color w:val="auto"/>
          <w:sz w:val="20"/>
          <w:szCs w:val="20"/>
        </w:rPr>
        <w:t>4</w:t>
      </w:r>
      <w:r w:rsidR="00713523" w:rsidRPr="005732FC">
        <w:rPr>
          <w:rFonts w:ascii="Arial" w:hAnsi="Arial" w:cs="Arial"/>
          <w:b/>
          <w:bCs/>
          <w:color w:val="auto"/>
          <w:sz w:val="20"/>
          <w:szCs w:val="20"/>
        </w:rPr>
        <w:t xml:space="preserve"> Otros Gastos y Pérdidas Extraordinarias</w:t>
      </w:r>
      <w:r w:rsidR="00713523" w:rsidRPr="005732FC">
        <w:rPr>
          <w:rFonts w:ascii="Arial" w:hAnsi="Arial" w:cs="Arial"/>
          <w:b/>
          <w:bCs/>
          <w:sz w:val="20"/>
          <w:szCs w:val="20"/>
        </w:rPr>
        <w:tab/>
      </w:r>
      <w:r w:rsidR="00713523" w:rsidRPr="005732FC">
        <w:rPr>
          <w:rFonts w:ascii="Arial" w:hAnsi="Arial" w:cs="Arial"/>
          <w:b/>
          <w:bCs/>
          <w:sz w:val="20"/>
          <w:szCs w:val="20"/>
        </w:rPr>
        <w:tab/>
      </w:r>
      <w:r w:rsidR="00713523" w:rsidRPr="005732FC">
        <w:rPr>
          <w:rFonts w:ascii="Arial" w:hAnsi="Arial" w:cs="Arial"/>
          <w:b/>
          <w:bCs/>
          <w:sz w:val="20"/>
          <w:szCs w:val="20"/>
        </w:rPr>
        <w:tab/>
      </w:r>
      <w:r w:rsidR="00713523" w:rsidRPr="005732FC">
        <w:rPr>
          <w:rFonts w:ascii="Arial" w:hAnsi="Arial" w:cs="Arial"/>
          <w:b/>
          <w:bCs/>
          <w:sz w:val="20"/>
          <w:szCs w:val="20"/>
        </w:rPr>
        <w:tab/>
      </w:r>
      <w:r w:rsidR="00713523" w:rsidRPr="005732FC">
        <w:rPr>
          <w:rFonts w:ascii="Arial" w:hAnsi="Arial" w:cs="Arial"/>
          <w:b/>
          <w:bCs/>
          <w:sz w:val="20"/>
          <w:szCs w:val="20"/>
        </w:rPr>
        <w:tab/>
      </w:r>
      <w:r w:rsidR="00713523" w:rsidRPr="005732FC">
        <w:rPr>
          <w:rFonts w:ascii="Arial" w:hAnsi="Arial" w:cs="Arial"/>
          <w:b/>
          <w:bCs/>
          <w:sz w:val="20"/>
          <w:szCs w:val="20"/>
        </w:rPr>
        <w:tab/>
      </w:r>
      <w:r w:rsidR="00713523" w:rsidRPr="005732FC">
        <w:rPr>
          <w:rFonts w:ascii="Arial" w:hAnsi="Arial" w:cs="Arial"/>
          <w:b/>
          <w:bCs/>
          <w:sz w:val="20"/>
          <w:szCs w:val="20"/>
        </w:rPr>
        <w:tab/>
      </w:r>
      <w:r w:rsidR="00713523" w:rsidRPr="005732FC">
        <w:rPr>
          <w:rFonts w:ascii="Arial" w:hAnsi="Arial" w:cs="Arial"/>
          <w:b/>
          <w:bCs/>
          <w:sz w:val="20"/>
          <w:szCs w:val="20"/>
        </w:rPr>
        <w:tab/>
      </w:r>
    </w:p>
    <w:p w14:paraId="78854959" w14:textId="77777777" w:rsidR="00713523" w:rsidRPr="005732FC" w:rsidRDefault="00713523" w:rsidP="00713523">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C5BC415" w14:textId="77777777" w:rsidR="00713523" w:rsidRPr="005732FC" w:rsidRDefault="00713523" w:rsidP="00713523">
      <w:pPr>
        <w:spacing w:after="0"/>
        <w:jc w:val="both"/>
        <w:rPr>
          <w:rFonts w:ascii="Arial" w:hAnsi="Arial" w:cs="Arial"/>
          <w:sz w:val="20"/>
          <w:szCs w:val="20"/>
        </w:rPr>
      </w:pPr>
      <w:r w:rsidRPr="005732FC">
        <w:rPr>
          <w:rFonts w:ascii="Arial" w:hAnsi="Arial" w:cs="Arial"/>
          <w:sz w:val="20"/>
          <w:szCs w:val="20"/>
        </w:rPr>
        <w:t>Los otros gastos y pérdidas extraordinarias comprenden el importe de gastos no incluidos en los grupos anteriores, referentes principalmente a la depreciación y amortización de los bienes propiedad del Municipio, mismos que se relacionan a continuación:</w:t>
      </w:r>
      <w:r w:rsidRPr="005732FC">
        <w:rPr>
          <w:rFonts w:ascii="Arial" w:hAnsi="Arial" w:cs="Arial"/>
          <w:sz w:val="20"/>
          <w:szCs w:val="20"/>
        </w:rPr>
        <w:tab/>
      </w:r>
    </w:p>
    <w:p w14:paraId="577E3112" w14:textId="77777777" w:rsidR="00713523" w:rsidRPr="005732FC" w:rsidRDefault="00713523" w:rsidP="00713523">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7655" w:type="dxa"/>
        <w:tblCellMar>
          <w:left w:w="70" w:type="dxa"/>
          <w:right w:w="70" w:type="dxa"/>
        </w:tblCellMar>
        <w:tblLook w:val="04A0" w:firstRow="1" w:lastRow="0" w:firstColumn="1" w:lastColumn="0" w:noHBand="0" w:noVBand="1"/>
      </w:tblPr>
      <w:tblGrid>
        <w:gridCol w:w="5387"/>
        <w:gridCol w:w="1260"/>
        <w:gridCol w:w="186"/>
        <w:gridCol w:w="160"/>
        <w:gridCol w:w="662"/>
      </w:tblGrid>
      <w:tr w:rsidR="00713523" w:rsidRPr="005732FC" w14:paraId="4637F675" w14:textId="77777777" w:rsidTr="008C77A6">
        <w:trPr>
          <w:trHeight w:val="20"/>
          <w:tblHeader/>
        </w:trPr>
        <w:tc>
          <w:tcPr>
            <w:tcW w:w="5387" w:type="dxa"/>
            <w:tcBorders>
              <w:top w:val="single" w:sz="8" w:space="0" w:color="auto"/>
              <w:left w:val="nil"/>
              <w:bottom w:val="single" w:sz="8" w:space="0" w:color="auto"/>
              <w:right w:val="nil"/>
            </w:tcBorders>
            <w:shd w:val="clear" w:color="000000" w:fill="D9D9D9"/>
            <w:vAlign w:val="center"/>
            <w:hideMark/>
          </w:tcPr>
          <w:p w14:paraId="1F2D5868" w14:textId="77777777" w:rsidR="00713523" w:rsidRPr="005732FC" w:rsidRDefault="00713523" w:rsidP="00713523">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268" w:type="dxa"/>
            <w:gridSpan w:val="4"/>
            <w:tcBorders>
              <w:top w:val="single" w:sz="8" w:space="0" w:color="auto"/>
              <w:left w:val="nil"/>
              <w:bottom w:val="single" w:sz="8" w:space="0" w:color="auto"/>
              <w:right w:val="nil"/>
            </w:tcBorders>
            <w:shd w:val="clear" w:color="000000" w:fill="D9D9D9"/>
            <w:noWrap/>
            <w:vAlign w:val="center"/>
            <w:hideMark/>
          </w:tcPr>
          <w:p w14:paraId="29A55198" w14:textId="77777777" w:rsidR="00713523" w:rsidRPr="005732FC" w:rsidRDefault="00713523" w:rsidP="0071352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r>
      <w:tr w:rsidR="00713523" w:rsidRPr="005732FC" w14:paraId="3BB78A2C" w14:textId="77777777" w:rsidTr="008C77A6">
        <w:trPr>
          <w:trHeight w:val="20"/>
        </w:trPr>
        <w:tc>
          <w:tcPr>
            <w:tcW w:w="5387" w:type="dxa"/>
            <w:tcBorders>
              <w:top w:val="single" w:sz="8" w:space="0" w:color="auto"/>
              <w:left w:val="nil"/>
              <w:bottom w:val="nil"/>
              <w:right w:val="nil"/>
            </w:tcBorders>
            <w:shd w:val="clear" w:color="auto" w:fill="auto"/>
            <w:noWrap/>
            <w:vAlign w:val="center"/>
            <w:hideMark/>
          </w:tcPr>
          <w:p w14:paraId="6BF6AFDB" w14:textId="77777777" w:rsidR="00713523" w:rsidRPr="005732FC" w:rsidRDefault="00713523" w:rsidP="00713523">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Estimaciones, Depreciaciones, Deterioros, Obsolescencia y Amortizaciones</w:t>
            </w:r>
          </w:p>
        </w:tc>
        <w:tc>
          <w:tcPr>
            <w:tcW w:w="2268" w:type="dxa"/>
            <w:gridSpan w:val="4"/>
            <w:tcBorders>
              <w:top w:val="nil"/>
              <w:left w:val="nil"/>
              <w:bottom w:val="nil"/>
              <w:right w:val="nil"/>
            </w:tcBorders>
            <w:shd w:val="clear" w:color="auto" w:fill="auto"/>
            <w:noWrap/>
            <w:vAlign w:val="center"/>
            <w:hideMark/>
          </w:tcPr>
          <w:p w14:paraId="71C55E17" w14:textId="77777777" w:rsidR="00713523" w:rsidRPr="005732FC" w:rsidRDefault="00713523" w:rsidP="0071352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48,487,876.36</w:t>
            </w:r>
          </w:p>
        </w:tc>
      </w:tr>
      <w:tr w:rsidR="00713523" w:rsidRPr="005732FC" w14:paraId="56DA315A" w14:textId="77777777" w:rsidTr="008C77A6">
        <w:trPr>
          <w:trHeight w:val="20"/>
        </w:trPr>
        <w:tc>
          <w:tcPr>
            <w:tcW w:w="5387" w:type="dxa"/>
            <w:tcBorders>
              <w:top w:val="nil"/>
              <w:left w:val="nil"/>
              <w:bottom w:val="nil"/>
              <w:right w:val="nil"/>
            </w:tcBorders>
            <w:shd w:val="clear" w:color="auto" w:fill="auto"/>
            <w:vAlign w:val="center"/>
            <w:hideMark/>
          </w:tcPr>
          <w:p w14:paraId="0B3C9088" w14:textId="77777777" w:rsidR="00713523" w:rsidRPr="005732FC" w:rsidRDefault="00713523" w:rsidP="0071352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Depreciación de Bienes Muebles</w:t>
            </w:r>
          </w:p>
        </w:tc>
        <w:tc>
          <w:tcPr>
            <w:tcW w:w="2268" w:type="dxa"/>
            <w:gridSpan w:val="4"/>
            <w:tcBorders>
              <w:top w:val="nil"/>
              <w:left w:val="nil"/>
              <w:bottom w:val="nil"/>
              <w:right w:val="nil"/>
            </w:tcBorders>
            <w:shd w:val="clear" w:color="auto" w:fill="auto"/>
            <w:noWrap/>
            <w:vAlign w:val="center"/>
            <w:hideMark/>
          </w:tcPr>
          <w:p w14:paraId="2D815D04" w14:textId="77777777" w:rsidR="00713523" w:rsidRPr="005732FC" w:rsidRDefault="00713523" w:rsidP="0071352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46,001,754.45</w:t>
            </w:r>
          </w:p>
        </w:tc>
      </w:tr>
      <w:tr w:rsidR="00713523" w:rsidRPr="005732FC" w14:paraId="5BD64376" w14:textId="77777777" w:rsidTr="008C77A6">
        <w:trPr>
          <w:trHeight w:val="20"/>
        </w:trPr>
        <w:tc>
          <w:tcPr>
            <w:tcW w:w="5387" w:type="dxa"/>
            <w:tcBorders>
              <w:top w:val="nil"/>
              <w:left w:val="nil"/>
              <w:bottom w:val="nil"/>
              <w:right w:val="nil"/>
            </w:tcBorders>
            <w:shd w:val="clear" w:color="auto" w:fill="auto"/>
            <w:vAlign w:val="center"/>
          </w:tcPr>
          <w:p w14:paraId="0BA42DCE" w14:textId="77777777" w:rsidR="00713523" w:rsidRPr="005732FC" w:rsidRDefault="00713523" w:rsidP="0071352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Amortización de Activos Intangibles</w:t>
            </w:r>
          </w:p>
        </w:tc>
        <w:tc>
          <w:tcPr>
            <w:tcW w:w="2268" w:type="dxa"/>
            <w:gridSpan w:val="4"/>
            <w:tcBorders>
              <w:top w:val="nil"/>
              <w:left w:val="nil"/>
              <w:bottom w:val="nil"/>
              <w:right w:val="nil"/>
            </w:tcBorders>
            <w:shd w:val="clear" w:color="auto" w:fill="auto"/>
            <w:noWrap/>
            <w:vAlign w:val="center"/>
          </w:tcPr>
          <w:p w14:paraId="347DDEBA" w14:textId="77777777" w:rsidR="00713523" w:rsidRPr="005732FC" w:rsidRDefault="00713523" w:rsidP="0071352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2,486,121.91</w:t>
            </w:r>
          </w:p>
        </w:tc>
      </w:tr>
      <w:tr w:rsidR="00713523" w:rsidRPr="005732FC" w14:paraId="5641E91C" w14:textId="77777777" w:rsidTr="008C77A6">
        <w:trPr>
          <w:trHeight w:val="20"/>
        </w:trPr>
        <w:tc>
          <w:tcPr>
            <w:tcW w:w="6647" w:type="dxa"/>
            <w:gridSpan w:val="2"/>
            <w:tcBorders>
              <w:top w:val="nil"/>
              <w:left w:val="nil"/>
              <w:bottom w:val="nil"/>
              <w:right w:val="nil"/>
            </w:tcBorders>
            <w:shd w:val="clear" w:color="auto" w:fill="auto"/>
            <w:noWrap/>
            <w:vAlign w:val="center"/>
            <w:hideMark/>
          </w:tcPr>
          <w:p w14:paraId="45E6E10E" w14:textId="77777777" w:rsidR="00713523" w:rsidRPr="005732FC" w:rsidRDefault="00713523" w:rsidP="00713523">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Provisiones</w:t>
            </w:r>
          </w:p>
        </w:tc>
        <w:tc>
          <w:tcPr>
            <w:tcW w:w="186" w:type="dxa"/>
            <w:tcBorders>
              <w:top w:val="nil"/>
              <w:left w:val="nil"/>
              <w:bottom w:val="nil"/>
              <w:right w:val="nil"/>
            </w:tcBorders>
            <w:shd w:val="clear" w:color="auto" w:fill="auto"/>
            <w:noWrap/>
            <w:vAlign w:val="center"/>
            <w:hideMark/>
          </w:tcPr>
          <w:p w14:paraId="4554B219" w14:textId="77777777" w:rsidR="00713523" w:rsidRPr="005732FC" w:rsidRDefault="00713523" w:rsidP="00713523">
            <w:pPr>
              <w:spacing w:after="0" w:line="240" w:lineRule="auto"/>
              <w:rPr>
                <w:rFonts w:ascii="Arial" w:eastAsia="Times New Roman" w:hAnsi="Arial" w:cs="Arial"/>
                <w:b/>
                <w:bCs/>
                <w:color w:val="000000"/>
                <w:kern w:val="0"/>
                <w:sz w:val="20"/>
                <w:szCs w:val="20"/>
                <w:lang w:eastAsia="es-MX"/>
                <w14:ligatures w14:val="none"/>
              </w:rPr>
            </w:pPr>
          </w:p>
        </w:tc>
        <w:tc>
          <w:tcPr>
            <w:tcW w:w="160" w:type="dxa"/>
            <w:tcBorders>
              <w:top w:val="nil"/>
              <w:left w:val="nil"/>
              <w:bottom w:val="nil"/>
              <w:right w:val="nil"/>
            </w:tcBorders>
            <w:shd w:val="clear" w:color="auto" w:fill="auto"/>
            <w:noWrap/>
            <w:vAlign w:val="center"/>
            <w:hideMark/>
          </w:tcPr>
          <w:p w14:paraId="5D414505" w14:textId="77777777" w:rsidR="00713523" w:rsidRPr="005732FC" w:rsidRDefault="00713523" w:rsidP="00713523">
            <w:pPr>
              <w:spacing w:after="0" w:line="240" w:lineRule="auto"/>
              <w:jc w:val="center"/>
              <w:rPr>
                <w:rFonts w:ascii="Times New Roman" w:eastAsia="Times New Roman" w:hAnsi="Times New Roman" w:cs="Times New Roman"/>
                <w:kern w:val="0"/>
                <w:sz w:val="20"/>
                <w:szCs w:val="20"/>
                <w:lang w:eastAsia="es-MX"/>
                <w14:ligatures w14:val="none"/>
              </w:rPr>
            </w:pPr>
          </w:p>
        </w:tc>
        <w:tc>
          <w:tcPr>
            <w:tcW w:w="662" w:type="dxa"/>
            <w:tcBorders>
              <w:top w:val="nil"/>
              <w:left w:val="nil"/>
              <w:bottom w:val="nil"/>
              <w:right w:val="nil"/>
            </w:tcBorders>
            <w:shd w:val="clear" w:color="auto" w:fill="auto"/>
            <w:noWrap/>
            <w:vAlign w:val="center"/>
            <w:hideMark/>
          </w:tcPr>
          <w:p w14:paraId="2C01A5C9" w14:textId="77777777" w:rsidR="00713523" w:rsidRPr="005732FC" w:rsidRDefault="00713523" w:rsidP="0071352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0.00</w:t>
            </w:r>
          </w:p>
        </w:tc>
      </w:tr>
      <w:tr w:rsidR="00713523" w:rsidRPr="005732FC" w14:paraId="1873559F" w14:textId="77777777" w:rsidTr="008C77A6">
        <w:trPr>
          <w:trHeight w:val="20"/>
        </w:trPr>
        <w:tc>
          <w:tcPr>
            <w:tcW w:w="6833" w:type="dxa"/>
            <w:gridSpan w:val="3"/>
            <w:tcBorders>
              <w:top w:val="nil"/>
              <w:left w:val="nil"/>
              <w:bottom w:val="nil"/>
              <w:right w:val="nil"/>
            </w:tcBorders>
            <w:shd w:val="clear" w:color="auto" w:fill="auto"/>
            <w:noWrap/>
            <w:vAlign w:val="center"/>
            <w:hideMark/>
          </w:tcPr>
          <w:p w14:paraId="3998AFE3" w14:textId="77777777" w:rsidR="00713523" w:rsidRPr="005732FC" w:rsidRDefault="00713523" w:rsidP="00713523">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Disminución de Inventarios</w:t>
            </w:r>
          </w:p>
        </w:tc>
        <w:tc>
          <w:tcPr>
            <w:tcW w:w="160" w:type="dxa"/>
            <w:tcBorders>
              <w:top w:val="nil"/>
              <w:left w:val="nil"/>
              <w:bottom w:val="nil"/>
              <w:right w:val="nil"/>
            </w:tcBorders>
            <w:shd w:val="clear" w:color="auto" w:fill="auto"/>
            <w:noWrap/>
            <w:vAlign w:val="center"/>
            <w:hideMark/>
          </w:tcPr>
          <w:p w14:paraId="31A073B4" w14:textId="77777777" w:rsidR="00713523" w:rsidRPr="005732FC" w:rsidRDefault="00713523" w:rsidP="00713523">
            <w:pPr>
              <w:spacing w:after="0" w:line="240" w:lineRule="auto"/>
              <w:rPr>
                <w:rFonts w:ascii="Arial" w:eastAsia="Times New Roman" w:hAnsi="Arial" w:cs="Arial"/>
                <w:b/>
                <w:bCs/>
                <w:color w:val="000000"/>
                <w:kern w:val="0"/>
                <w:sz w:val="20"/>
                <w:szCs w:val="20"/>
                <w:lang w:eastAsia="es-MX"/>
                <w14:ligatures w14:val="none"/>
              </w:rPr>
            </w:pPr>
          </w:p>
        </w:tc>
        <w:tc>
          <w:tcPr>
            <w:tcW w:w="662" w:type="dxa"/>
            <w:tcBorders>
              <w:top w:val="nil"/>
              <w:left w:val="nil"/>
              <w:bottom w:val="nil"/>
              <w:right w:val="nil"/>
            </w:tcBorders>
            <w:shd w:val="clear" w:color="auto" w:fill="auto"/>
            <w:noWrap/>
            <w:vAlign w:val="center"/>
            <w:hideMark/>
          </w:tcPr>
          <w:p w14:paraId="73838ADE" w14:textId="77777777" w:rsidR="00713523" w:rsidRPr="005732FC" w:rsidRDefault="00713523" w:rsidP="0071352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0.00</w:t>
            </w:r>
          </w:p>
        </w:tc>
      </w:tr>
      <w:tr w:rsidR="00713523" w:rsidRPr="005732FC" w14:paraId="7CA6FFDC" w14:textId="77777777" w:rsidTr="008C77A6">
        <w:trPr>
          <w:trHeight w:val="20"/>
        </w:trPr>
        <w:tc>
          <w:tcPr>
            <w:tcW w:w="6647" w:type="dxa"/>
            <w:gridSpan w:val="2"/>
            <w:tcBorders>
              <w:top w:val="nil"/>
              <w:left w:val="nil"/>
              <w:bottom w:val="single" w:sz="4" w:space="0" w:color="auto"/>
              <w:right w:val="nil"/>
            </w:tcBorders>
            <w:shd w:val="clear" w:color="auto" w:fill="auto"/>
            <w:noWrap/>
            <w:vAlign w:val="center"/>
            <w:hideMark/>
          </w:tcPr>
          <w:p w14:paraId="1BA868B1" w14:textId="77777777" w:rsidR="00713523" w:rsidRPr="005732FC" w:rsidRDefault="00713523" w:rsidP="00713523">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lastRenderedPageBreak/>
              <w:t>Otros Gastos</w:t>
            </w:r>
          </w:p>
        </w:tc>
        <w:tc>
          <w:tcPr>
            <w:tcW w:w="186" w:type="dxa"/>
            <w:tcBorders>
              <w:top w:val="nil"/>
              <w:left w:val="nil"/>
              <w:bottom w:val="single" w:sz="4" w:space="0" w:color="auto"/>
              <w:right w:val="nil"/>
            </w:tcBorders>
            <w:shd w:val="clear" w:color="auto" w:fill="auto"/>
            <w:noWrap/>
            <w:vAlign w:val="center"/>
            <w:hideMark/>
          </w:tcPr>
          <w:p w14:paraId="26C4FD0F" w14:textId="77777777" w:rsidR="00713523" w:rsidRPr="005732FC" w:rsidRDefault="00713523" w:rsidP="00713523">
            <w:pPr>
              <w:spacing w:after="0" w:line="240" w:lineRule="auto"/>
              <w:rPr>
                <w:rFonts w:ascii="Arial" w:eastAsia="Times New Roman" w:hAnsi="Arial" w:cs="Arial"/>
                <w:b/>
                <w:bCs/>
                <w:color w:val="000000"/>
                <w:kern w:val="0"/>
                <w:sz w:val="20"/>
                <w:szCs w:val="20"/>
                <w:lang w:eastAsia="es-MX"/>
                <w14:ligatures w14:val="none"/>
              </w:rPr>
            </w:pPr>
          </w:p>
        </w:tc>
        <w:tc>
          <w:tcPr>
            <w:tcW w:w="160" w:type="dxa"/>
            <w:tcBorders>
              <w:top w:val="nil"/>
              <w:left w:val="nil"/>
              <w:bottom w:val="single" w:sz="4" w:space="0" w:color="auto"/>
              <w:right w:val="nil"/>
            </w:tcBorders>
            <w:shd w:val="clear" w:color="auto" w:fill="auto"/>
            <w:noWrap/>
            <w:vAlign w:val="center"/>
            <w:hideMark/>
          </w:tcPr>
          <w:p w14:paraId="6E2CE91C" w14:textId="77777777" w:rsidR="00713523" w:rsidRPr="005732FC" w:rsidRDefault="00713523" w:rsidP="00713523">
            <w:pPr>
              <w:spacing w:after="0" w:line="240" w:lineRule="auto"/>
              <w:jc w:val="center"/>
              <w:rPr>
                <w:rFonts w:ascii="Times New Roman" w:eastAsia="Times New Roman" w:hAnsi="Times New Roman" w:cs="Times New Roman"/>
                <w:kern w:val="0"/>
                <w:sz w:val="20"/>
                <w:szCs w:val="20"/>
                <w:lang w:eastAsia="es-MX"/>
                <w14:ligatures w14:val="none"/>
              </w:rPr>
            </w:pPr>
          </w:p>
        </w:tc>
        <w:tc>
          <w:tcPr>
            <w:tcW w:w="662" w:type="dxa"/>
            <w:tcBorders>
              <w:top w:val="nil"/>
              <w:left w:val="nil"/>
              <w:bottom w:val="single" w:sz="4" w:space="0" w:color="auto"/>
              <w:right w:val="nil"/>
            </w:tcBorders>
            <w:shd w:val="clear" w:color="auto" w:fill="auto"/>
            <w:noWrap/>
            <w:vAlign w:val="center"/>
            <w:hideMark/>
          </w:tcPr>
          <w:p w14:paraId="4BF7CE02" w14:textId="77777777" w:rsidR="00713523" w:rsidRPr="005732FC" w:rsidRDefault="00713523" w:rsidP="0071352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0.00</w:t>
            </w:r>
          </w:p>
        </w:tc>
      </w:tr>
      <w:tr w:rsidR="00713523" w:rsidRPr="005732FC" w14:paraId="4367FB18" w14:textId="77777777" w:rsidTr="008C77A6">
        <w:trPr>
          <w:trHeight w:val="20"/>
        </w:trPr>
        <w:tc>
          <w:tcPr>
            <w:tcW w:w="5387" w:type="dxa"/>
            <w:tcBorders>
              <w:top w:val="single" w:sz="4" w:space="0" w:color="auto"/>
              <w:left w:val="nil"/>
              <w:bottom w:val="single" w:sz="8" w:space="0" w:color="auto"/>
              <w:right w:val="nil"/>
            </w:tcBorders>
            <w:shd w:val="clear" w:color="000000" w:fill="D9D9D9"/>
            <w:vAlign w:val="center"/>
            <w:hideMark/>
          </w:tcPr>
          <w:p w14:paraId="2DB292A9" w14:textId="77777777" w:rsidR="00713523" w:rsidRPr="005732FC" w:rsidRDefault="00713523" w:rsidP="00713523">
            <w:pPr>
              <w:spacing w:after="0" w:line="240" w:lineRule="auto"/>
              <w:rPr>
                <w:rFonts w:ascii="Arial" w:eastAsia="Times New Roman" w:hAnsi="Arial" w:cs="Arial"/>
                <w:b/>
                <w:bCs/>
                <w:color w:val="000000"/>
                <w:kern w:val="0"/>
                <w:sz w:val="20"/>
                <w:szCs w:val="20"/>
                <w:lang w:eastAsia="es-MX"/>
                <w14:ligatures w14:val="none"/>
              </w:rPr>
            </w:pPr>
            <w:proofErr w:type="gramStart"/>
            <w:r w:rsidRPr="005732FC">
              <w:rPr>
                <w:rFonts w:ascii="Arial" w:eastAsia="Times New Roman" w:hAnsi="Arial" w:cs="Arial"/>
                <w:b/>
                <w:bCs/>
                <w:color w:val="000000"/>
                <w:kern w:val="0"/>
                <w:sz w:val="20"/>
                <w:szCs w:val="20"/>
                <w:lang w:eastAsia="es-MX"/>
                <w14:ligatures w14:val="none"/>
              </w:rPr>
              <w:t>Total</w:t>
            </w:r>
            <w:proofErr w:type="gramEnd"/>
            <w:r w:rsidRPr="005732FC">
              <w:rPr>
                <w:rFonts w:ascii="Arial" w:eastAsia="Times New Roman" w:hAnsi="Arial" w:cs="Arial"/>
                <w:b/>
                <w:bCs/>
                <w:color w:val="000000"/>
                <w:kern w:val="0"/>
                <w:sz w:val="20"/>
                <w:szCs w:val="20"/>
                <w:lang w:eastAsia="es-MX"/>
                <w14:ligatures w14:val="none"/>
              </w:rPr>
              <w:t xml:space="preserve"> Otros Gastos y Pérdidas Extraordinarias</w:t>
            </w:r>
          </w:p>
        </w:tc>
        <w:tc>
          <w:tcPr>
            <w:tcW w:w="2268" w:type="dxa"/>
            <w:gridSpan w:val="4"/>
            <w:tcBorders>
              <w:top w:val="single" w:sz="4" w:space="0" w:color="auto"/>
              <w:left w:val="nil"/>
              <w:bottom w:val="single" w:sz="8" w:space="0" w:color="auto"/>
              <w:right w:val="nil"/>
            </w:tcBorders>
            <w:shd w:val="clear" w:color="000000" w:fill="D9D9D9"/>
            <w:noWrap/>
            <w:vAlign w:val="center"/>
            <w:hideMark/>
          </w:tcPr>
          <w:p w14:paraId="36B11B10" w14:textId="77777777" w:rsidR="00713523" w:rsidRPr="005732FC" w:rsidRDefault="00713523" w:rsidP="0071352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48,487,876.36</w:t>
            </w:r>
          </w:p>
        </w:tc>
      </w:tr>
    </w:tbl>
    <w:p w14:paraId="28B40795" w14:textId="3858C3C3" w:rsidR="00C04AE8" w:rsidRPr="005732FC" w:rsidRDefault="003C5317" w:rsidP="00954488">
      <w:pPr>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p>
    <w:p w14:paraId="5C30AF1C" w14:textId="380837A7" w:rsidR="00BA3347" w:rsidRPr="005732FC" w:rsidRDefault="00BA3347" w:rsidP="005D2B3E">
      <w:pPr>
        <w:pStyle w:val="Ttulo2"/>
        <w:ind w:hanging="284"/>
        <w:rPr>
          <w:rFonts w:ascii="Arial" w:hAnsi="Arial" w:cs="Arial"/>
          <w:b/>
          <w:bCs/>
          <w:sz w:val="20"/>
          <w:szCs w:val="20"/>
        </w:rPr>
      </w:pPr>
      <w:r w:rsidRPr="005732FC">
        <w:rPr>
          <w:rFonts w:ascii="Arial" w:hAnsi="Arial" w:cs="Arial"/>
          <w:b/>
          <w:bCs/>
          <w:color w:val="auto"/>
          <w:sz w:val="20"/>
          <w:szCs w:val="20"/>
        </w:rPr>
        <w:t>2.5</w:t>
      </w:r>
      <w:r w:rsidRPr="005732FC">
        <w:rPr>
          <w:rFonts w:ascii="Arial" w:hAnsi="Arial" w:cs="Arial"/>
          <w:b/>
          <w:bCs/>
          <w:color w:val="auto"/>
          <w:sz w:val="20"/>
          <w:szCs w:val="20"/>
        </w:rPr>
        <w:tab/>
      </w:r>
      <w:r w:rsidR="009E4EAC" w:rsidRPr="005732FC">
        <w:rPr>
          <w:rFonts w:ascii="Arial" w:hAnsi="Arial" w:cs="Arial"/>
          <w:b/>
          <w:bCs/>
          <w:color w:val="auto"/>
          <w:sz w:val="20"/>
          <w:szCs w:val="20"/>
        </w:rPr>
        <w:t xml:space="preserve"> </w:t>
      </w:r>
      <w:r w:rsidRPr="005732FC">
        <w:rPr>
          <w:rFonts w:ascii="Arial" w:hAnsi="Arial" w:cs="Arial"/>
          <w:b/>
          <w:bCs/>
          <w:color w:val="auto"/>
          <w:sz w:val="20"/>
          <w:szCs w:val="20"/>
        </w:rPr>
        <w:t>Inversión Pública</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1681D014" w14:textId="77777777" w:rsidR="00EE463E" w:rsidRPr="005732FC" w:rsidRDefault="00EE463E" w:rsidP="00D120DB">
      <w:pPr>
        <w:spacing w:after="0"/>
        <w:jc w:val="both"/>
        <w:rPr>
          <w:rFonts w:ascii="Arial" w:hAnsi="Arial" w:cs="Arial"/>
          <w:sz w:val="20"/>
          <w:szCs w:val="20"/>
        </w:rPr>
      </w:pPr>
      <w:bookmarkStart w:id="4" w:name="_Hlk165407739"/>
    </w:p>
    <w:bookmarkEnd w:id="4"/>
    <w:p w14:paraId="095B1622" w14:textId="418F3B20" w:rsidR="00400F19" w:rsidRPr="005732FC" w:rsidRDefault="00A219D7" w:rsidP="00400F19">
      <w:pPr>
        <w:spacing w:after="0"/>
        <w:jc w:val="both"/>
        <w:rPr>
          <w:rFonts w:ascii="Arial" w:hAnsi="Arial" w:cs="Arial"/>
          <w:sz w:val="20"/>
          <w:szCs w:val="20"/>
        </w:rPr>
      </w:pPr>
      <w:r w:rsidRPr="005732FC">
        <w:rPr>
          <w:rFonts w:ascii="Arial" w:hAnsi="Arial" w:cs="Arial"/>
          <w:sz w:val="20"/>
          <w:szCs w:val="20"/>
        </w:rPr>
        <w:t>La inversión pública comprende el importe del gasto destinado a construcción y/o conservación de obras, proyectos productivos, acciones de fomento y en general a todos aquellos gastos destinados a aumentar, conservar y mejorar el patrimonio. Su saldo al 30 de junio de 2025 es el siguiente:</w:t>
      </w:r>
      <w:r w:rsidRPr="005732FC">
        <w:rPr>
          <w:rFonts w:ascii="Arial" w:hAnsi="Arial" w:cs="Arial"/>
          <w:sz w:val="20"/>
          <w:szCs w:val="20"/>
        </w:rPr>
        <w:tab/>
      </w:r>
      <w:r w:rsidR="00400F19" w:rsidRPr="005732FC">
        <w:rPr>
          <w:rFonts w:ascii="Arial" w:hAnsi="Arial" w:cs="Arial"/>
          <w:sz w:val="20"/>
          <w:szCs w:val="20"/>
        </w:rPr>
        <w:tab/>
      </w:r>
      <w:r w:rsidR="00400F19" w:rsidRPr="005732FC">
        <w:rPr>
          <w:rFonts w:ascii="Arial" w:hAnsi="Arial" w:cs="Arial"/>
          <w:sz w:val="20"/>
          <w:szCs w:val="20"/>
        </w:rPr>
        <w:tab/>
      </w:r>
      <w:r w:rsidR="00400F19" w:rsidRPr="005732FC">
        <w:rPr>
          <w:rFonts w:ascii="Arial" w:hAnsi="Arial" w:cs="Arial"/>
          <w:sz w:val="20"/>
          <w:szCs w:val="20"/>
        </w:rPr>
        <w:tab/>
      </w:r>
    </w:p>
    <w:p w14:paraId="066CD1EC" w14:textId="77777777" w:rsidR="00400F19" w:rsidRPr="005732FC" w:rsidRDefault="00400F19" w:rsidP="00400F19">
      <w:pPr>
        <w:spacing w:after="0"/>
        <w:jc w:val="both"/>
        <w:rPr>
          <w:rFonts w:ascii="Arial" w:hAnsi="Arial" w:cs="Arial"/>
          <w:sz w:val="20"/>
          <w:szCs w:val="20"/>
        </w:rPr>
      </w:pPr>
    </w:p>
    <w:tbl>
      <w:tblPr>
        <w:tblW w:w="7371" w:type="dxa"/>
        <w:tblCellMar>
          <w:left w:w="70" w:type="dxa"/>
          <w:right w:w="70" w:type="dxa"/>
        </w:tblCellMar>
        <w:tblLook w:val="04A0" w:firstRow="1" w:lastRow="0" w:firstColumn="1" w:lastColumn="0" w:noHBand="0" w:noVBand="1"/>
      </w:tblPr>
      <w:tblGrid>
        <w:gridCol w:w="4962"/>
        <w:gridCol w:w="2409"/>
      </w:tblGrid>
      <w:tr w:rsidR="00A219D7" w:rsidRPr="005732FC" w14:paraId="3A94B523" w14:textId="77777777" w:rsidTr="008C77A6">
        <w:trPr>
          <w:trHeight w:val="20"/>
          <w:tblHeader/>
        </w:trPr>
        <w:tc>
          <w:tcPr>
            <w:tcW w:w="4962" w:type="dxa"/>
            <w:tcBorders>
              <w:top w:val="single" w:sz="8" w:space="0" w:color="auto"/>
              <w:left w:val="nil"/>
              <w:bottom w:val="single" w:sz="8" w:space="0" w:color="auto"/>
              <w:right w:val="nil"/>
            </w:tcBorders>
            <w:shd w:val="clear" w:color="000000" w:fill="D9D9D9"/>
            <w:noWrap/>
            <w:vAlign w:val="center"/>
            <w:hideMark/>
          </w:tcPr>
          <w:p w14:paraId="58857919" w14:textId="77777777" w:rsidR="00A219D7" w:rsidRPr="005732FC" w:rsidRDefault="00A219D7" w:rsidP="008C77A6">
            <w:pPr>
              <w:spacing w:after="0" w:line="240" w:lineRule="auto"/>
              <w:jc w:val="center"/>
              <w:rPr>
                <w:rFonts w:ascii="Arial" w:eastAsia="Times New Roman" w:hAnsi="Arial" w:cs="Arial"/>
                <w:b/>
                <w:bCs/>
                <w:color w:val="000000"/>
                <w:kern w:val="0"/>
                <w:sz w:val="20"/>
                <w:szCs w:val="20"/>
                <w:lang w:eastAsia="es-MX"/>
                <w14:ligatures w14:val="none"/>
              </w:rPr>
            </w:pPr>
            <w:bookmarkStart w:id="5" w:name="_Hlk165407745"/>
            <w:r w:rsidRPr="005732FC">
              <w:rPr>
                <w:rFonts w:ascii="Arial" w:eastAsia="Times New Roman" w:hAnsi="Arial" w:cs="Arial"/>
                <w:b/>
                <w:bCs/>
                <w:color w:val="000000"/>
                <w:kern w:val="0"/>
                <w:sz w:val="20"/>
                <w:szCs w:val="20"/>
                <w:lang w:eastAsia="es-MX"/>
                <w14:ligatures w14:val="none"/>
              </w:rPr>
              <w:t>Concepto</w:t>
            </w:r>
          </w:p>
        </w:tc>
        <w:tc>
          <w:tcPr>
            <w:tcW w:w="2409" w:type="dxa"/>
            <w:tcBorders>
              <w:top w:val="single" w:sz="8" w:space="0" w:color="auto"/>
              <w:left w:val="nil"/>
              <w:bottom w:val="single" w:sz="8" w:space="0" w:color="auto"/>
              <w:right w:val="nil"/>
            </w:tcBorders>
            <w:shd w:val="clear" w:color="000000" w:fill="D9D9D9"/>
            <w:noWrap/>
            <w:vAlign w:val="center"/>
            <w:hideMark/>
          </w:tcPr>
          <w:p w14:paraId="13839917" w14:textId="77777777" w:rsidR="00A219D7" w:rsidRPr="005732FC" w:rsidRDefault="00A219D7"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r>
      <w:tr w:rsidR="00A219D7" w:rsidRPr="005732FC" w14:paraId="2BF27A6D" w14:textId="77777777" w:rsidTr="008C77A6">
        <w:trPr>
          <w:trHeight w:val="20"/>
        </w:trPr>
        <w:tc>
          <w:tcPr>
            <w:tcW w:w="4962" w:type="dxa"/>
            <w:tcBorders>
              <w:top w:val="single" w:sz="8" w:space="0" w:color="auto"/>
              <w:left w:val="nil"/>
              <w:bottom w:val="nil"/>
              <w:right w:val="nil"/>
            </w:tcBorders>
            <w:shd w:val="clear" w:color="auto" w:fill="auto"/>
            <w:noWrap/>
            <w:vAlign w:val="center"/>
            <w:hideMark/>
          </w:tcPr>
          <w:p w14:paraId="75F5D8E0" w14:textId="77777777" w:rsidR="00A219D7" w:rsidRPr="005732FC" w:rsidRDefault="00A219D7"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Inversión Pública No Capitalizable</w:t>
            </w:r>
          </w:p>
        </w:tc>
        <w:tc>
          <w:tcPr>
            <w:tcW w:w="2409" w:type="dxa"/>
            <w:tcBorders>
              <w:top w:val="nil"/>
              <w:left w:val="nil"/>
              <w:bottom w:val="nil"/>
              <w:right w:val="nil"/>
            </w:tcBorders>
            <w:shd w:val="clear" w:color="auto" w:fill="auto"/>
            <w:noWrap/>
            <w:vAlign w:val="center"/>
            <w:hideMark/>
          </w:tcPr>
          <w:p w14:paraId="738E0F6B" w14:textId="77777777" w:rsidR="00A219D7" w:rsidRPr="005732FC" w:rsidRDefault="00A219D7"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0.00</w:t>
            </w:r>
          </w:p>
        </w:tc>
      </w:tr>
      <w:tr w:rsidR="00A219D7" w:rsidRPr="005732FC" w14:paraId="70390566" w14:textId="77777777" w:rsidTr="008C77A6">
        <w:trPr>
          <w:trHeight w:val="20"/>
        </w:trPr>
        <w:tc>
          <w:tcPr>
            <w:tcW w:w="4962" w:type="dxa"/>
            <w:tcBorders>
              <w:top w:val="nil"/>
              <w:left w:val="nil"/>
              <w:bottom w:val="nil"/>
              <w:right w:val="nil"/>
            </w:tcBorders>
            <w:shd w:val="clear" w:color="auto" w:fill="auto"/>
            <w:vAlign w:val="center"/>
            <w:hideMark/>
          </w:tcPr>
          <w:p w14:paraId="104F797F" w14:textId="77777777" w:rsidR="00A219D7" w:rsidRPr="005732FC" w:rsidRDefault="00A219D7"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Construcción En Bienes No Capitalizable  </w:t>
            </w:r>
          </w:p>
        </w:tc>
        <w:tc>
          <w:tcPr>
            <w:tcW w:w="2409" w:type="dxa"/>
            <w:tcBorders>
              <w:top w:val="nil"/>
              <w:left w:val="nil"/>
              <w:bottom w:val="nil"/>
              <w:right w:val="nil"/>
            </w:tcBorders>
            <w:shd w:val="clear" w:color="auto" w:fill="auto"/>
            <w:noWrap/>
            <w:vAlign w:val="center"/>
            <w:hideMark/>
          </w:tcPr>
          <w:p w14:paraId="53F4C511" w14:textId="77777777" w:rsidR="00A219D7" w:rsidRPr="005732FC" w:rsidRDefault="00A219D7"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A219D7" w:rsidRPr="005732FC" w14:paraId="49D3155A" w14:textId="77777777" w:rsidTr="008C77A6">
        <w:trPr>
          <w:trHeight w:val="20"/>
        </w:trPr>
        <w:tc>
          <w:tcPr>
            <w:tcW w:w="4962" w:type="dxa"/>
            <w:tcBorders>
              <w:top w:val="single" w:sz="8" w:space="0" w:color="auto"/>
              <w:left w:val="nil"/>
              <w:bottom w:val="single" w:sz="8" w:space="0" w:color="auto"/>
              <w:right w:val="nil"/>
            </w:tcBorders>
            <w:shd w:val="clear" w:color="000000" w:fill="D9D9D9"/>
            <w:vAlign w:val="center"/>
            <w:hideMark/>
          </w:tcPr>
          <w:p w14:paraId="56910D4B" w14:textId="77777777" w:rsidR="00A219D7" w:rsidRPr="005732FC" w:rsidRDefault="00A219D7" w:rsidP="008C77A6">
            <w:pPr>
              <w:spacing w:after="0" w:line="240" w:lineRule="auto"/>
              <w:rPr>
                <w:rFonts w:ascii="Arial" w:eastAsia="Times New Roman" w:hAnsi="Arial" w:cs="Arial"/>
                <w:b/>
                <w:bCs/>
                <w:color w:val="000000"/>
                <w:kern w:val="0"/>
                <w:sz w:val="20"/>
                <w:szCs w:val="20"/>
                <w:lang w:eastAsia="es-MX"/>
                <w14:ligatures w14:val="none"/>
              </w:rPr>
            </w:pPr>
            <w:proofErr w:type="gramStart"/>
            <w:r w:rsidRPr="005732FC">
              <w:rPr>
                <w:rFonts w:ascii="Arial" w:eastAsia="Times New Roman" w:hAnsi="Arial" w:cs="Arial"/>
                <w:b/>
                <w:bCs/>
                <w:color w:val="000000"/>
                <w:kern w:val="0"/>
                <w:sz w:val="20"/>
                <w:szCs w:val="20"/>
                <w:lang w:eastAsia="es-MX"/>
                <w14:ligatures w14:val="none"/>
              </w:rPr>
              <w:t>Total</w:t>
            </w:r>
            <w:proofErr w:type="gramEnd"/>
            <w:r w:rsidRPr="005732FC">
              <w:rPr>
                <w:rFonts w:ascii="Arial" w:eastAsia="Times New Roman" w:hAnsi="Arial" w:cs="Arial"/>
                <w:b/>
                <w:bCs/>
                <w:color w:val="000000"/>
                <w:kern w:val="0"/>
                <w:sz w:val="20"/>
                <w:szCs w:val="20"/>
                <w:lang w:eastAsia="es-MX"/>
                <w14:ligatures w14:val="none"/>
              </w:rPr>
              <w:t xml:space="preserve"> inversión Pública</w:t>
            </w:r>
          </w:p>
        </w:tc>
        <w:tc>
          <w:tcPr>
            <w:tcW w:w="2409" w:type="dxa"/>
            <w:tcBorders>
              <w:top w:val="single" w:sz="8" w:space="0" w:color="auto"/>
              <w:left w:val="nil"/>
              <w:bottom w:val="single" w:sz="8" w:space="0" w:color="auto"/>
              <w:right w:val="nil"/>
            </w:tcBorders>
            <w:shd w:val="clear" w:color="000000" w:fill="D9D9D9"/>
            <w:noWrap/>
            <w:vAlign w:val="center"/>
            <w:hideMark/>
          </w:tcPr>
          <w:p w14:paraId="15B7DE2D" w14:textId="77777777" w:rsidR="00A219D7" w:rsidRPr="005732FC" w:rsidRDefault="00A219D7"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0.00</w:t>
            </w:r>
          </w:p>
        </w:tc>
      </w:tr>
    </w:tbl>
    <w:bookmarkEnd w:id="5"/>
    <w:p w14:paraId="10AC345A" w14:textId="2CD1CBFF" w:rsidR="00BA3347" w:rsidRPr="005732FC" w:rsidRDefault="00BA3347" w:rsidP="005D2B3E">
      <w:pPr>
        <w:pStyle w:val="Ttulo1"/>
        <w:rPr>
          <w:rFonts w:ascii="Arial" w:hAnsi="Arial" w:cs="Arial"/>
          <w:b/>
          <w:bCs/>
          <w:sz w:val="20"/>
          <w:szCs w:val="20"/>
        </w:rPr>
      </w:pPr>
      <w:r w:rsidRPr="005732FC">
        <w:rPr>
          <w:rFonts w:ascii="Arial" w:hAnsi="Arial" w:cs="Arial"/>
          <w:b/>
          <w:bCs/>
          <w:color w:val="auto"/>
          <w:sz w:val="20"/>
          <w:szCs w:val="20"/>
        </w:rPr>
        <w:t>II</w:t>
      </w:r>
      <w:r w:rsidRPr="005732FC">
        <w:rPr>
          <w:rFonts w:ascii="Arial" w:hAnsi="Arial" w:cs="Arial"/>
          <w:b/>
          <w:bCs/>
          <w:color w:val="auto"/>
          <w:sz w:val="20"/>
          <w:szCs w:val="20"/>
        </w:rPr>
        <w:tab/>
        <w:t>Notas al Estado de Situación Financiera</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4E418B37" w14:textId="77777777" w:rsidR="00F05338" w:rsidRPr="005732FC" w:rsidRDefault="00BA3347" w:rsidP="005D2B3E">
      <w:pPr>
        <w:spacing w:after="0"/>
        <w:jc w:val="both"/>
        <w:rPr>
          <w:rFonts w:ascii="Arial" w:hAnsi="Arial" w:cs="Arial"/>
          <w:sz w:val="20"/>
          <w:szCs w:val="20"/>
        </w:rPr>
      </w:pPr>
      <w:r w:rsidRPr="005732FC">
        <w:rPr>
          <w:rFonts w:ascii="Arial" w:hAnsi="Arial" w:cs="Arial"/>
          <w:sz w:val="20"/>
          <w:szCs w:val="20"/>
        </w:rPr>
        <w:tab/>
      </w:r>
    </w:p>
    <w:p w14:paraId="1B523F1D" w14:textId="44254F7B" w:rsidR="00F05338" w:rsidRPr="005732FC" w:rsidRDefault="00BA3347" w:rsidP="005D2B3E">
      <w:pPr>
        <w:spacing w:after="0"/>
        <w:jc w:val="both"/>
        <w:rPr>
          <w:rFonts w:ascii="Arial" w:hAnsi="Arial" w:cs="Arial"/>
          <w:b/>
          <w:bCs/>
          <w:sz w:val="20"/>
          <w:szCs w:val="20"/>
        </w:rPr>
      </w:pPr>
      <w:r w:rsidRPr="005732FC">
        <w:rPr>
          <w:rFonts w:ascii="Arial" w:hAnsi="Arial" w:cs="Arial"/>
          <w:b/>
          <w:bCs/>
          <w:sz w:val="20"/>
          <w:szCs w:val="20"/>
        </w:rPr>
        <w:t>Activo</w:t>
      </w:r>
    </w:p>
    <w:p w14:paraId="39611EF6" w14:textId="43868968" w:rsidR="00BA3347" w:rsidRPr="005732FC" w:rsidRDefault="00BA3347" w:rsidP="005D2B3E">
      <w:pPr>
        <w:spacing w:after="0"/>
        <w:jc w:val="both"/>
        <w:rPr>
          <w:rFonts w:ascii="Arial" w:hAnsi="Arial" w:cs="Arial"/>
          <w:b/>
          <w:bCs/>
          <w:sz w:val="20"/>
          <w:szCs w:val="20"/>
        </w:rPr>
      </w:pP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5DED9B08" w14:textId="30FAF7BE" w:rsidR="00BA3347" w:rsidRPr="005732FC" w:rsidRDefault="00BA3347" w:rsidP="005D2B3E">
      <w:pPr>
        <w:pStyle w:val="Ttulo2"/>
        <w:numPr>
          <w:ilvl w:val="0"/>
          <w:numId w:val="14"/>
        </w:numPr>
        <w:ind w:left="0" w:hanging="284"/>
        <w:rPr>
          <w:rFonts w:ascii="Arial" w:hAnsi="Arial" w:cs="Arial"/>
          <w:b/>
          <w:bCs/>
          <w:sz w:val="20"/>
          <w:szCs w:val="20"/>
        </w:rPr>
      </w:pPr>
      <w:r w:rsidRPr="005732FC">
        <w:rPr>
          <w:rFonts w:ascii="Arial" w:hAnsi="Arial" w:cs="Arial"/>
          <w:b/>
          <w:bCs/>
          <w:color w:val="auto"/>
          <w:sz w:val="20"/>
          <w:szCs w:val="20"/>
        </w:rPr>
        <w:t>Efectivo y Equivalentes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7F616FAC"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D645E04" w14:textId="77777777" w:rsidR="00461284" w:rsidRPr="005732FC" w:rsidRDefault="00461284" w:rsidP="00461284">
      <w:pPr>
        <w:spacing w:after="0"/>
        <w:jc w:val="both"/>
        <w:rPr>
          <w:rFonts w:ascii="Arial" w:hAnsi="Arial" w:cs="Arial"/>
          <w:sz w:val="20"/>
          <w:szCs w:val="20"/>
        </w:rPr>
      </w:pPr>
      <w:bookmarkStart w:id="6" w:name="_Hlk165407763"/>
      <w:bookmarkStart w:id="7" w:name="_Hlk175668168"/>
      <w:r w:rsidRPr="005732FC">
        <w:rPr>
          <w:rFonts w:ascii="Arial" w:hAnsi="Arial" w:cs="Arial"/>
          <w:sz w:val="20"/>
          <w:szCs w:val="20"/>
        </w:rPr>
        <w:t>El efectivo y equivalentes está representado por el disponible en las cajas, cuentas bancarias e inversiones temporales a plazo menor de tres meses y depósitos de fondos de terceros en garantía y/o administración; su saldo y composición al 30 de junio del 2025 es el siguiente:</w:t>
      </w:r>
      <w:bookmarkEnd w:id="6"/>
    </w:p>
    <w:p w14:paraId="79F036C3" w14:textId="77777777" w:rsidR="001C20A8" w:rsidRPr="005732FC" w:rsidRDefault="001C20A8" w:rsidP="001C20A8">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8222" w:type="dxa"/>
        <w:tblCellMar>
          <w:left w:w="70" w:type="dxa"/>
          <w:right w:w="70" w:type="dxa"/>
        </w:tblCellMar>
        <w:tblLook w:val="04A0" w:firstRow="1" w:lastRow="0" w:firstColumn="1" w:lastColumn="0" w:noHBand="0" w:noVBand="1"/>
      </w:tblPr>
      <w:tblGrid>
        <w:gridCol w:w="3840"/>
        <w:gridCol w:w="2114"/>
        <w:gridCol w:w="2268"/>
      </w:tblGrid>
      <w:tr w:rsidR="00461284" w:rsidRPr="005732FC" w14:paraId="6CD33402" w14:textId="77777777" w:rsidTr="0014577C">
        <w:trPr>
          <w:trHeight w:val="20"/>
        </w:trPr>
        <w:tc>
          <w:tcPr>
            <w:tcW w:w="3840" w:type="dxa"/>
            <w:tcBorders>
              <w:top w:val="single" w:sz="8" w:space="0" w:color="auto"/>
              <w:left w:val="nil"/>
              <w:bottom w:val="single" w:sz="8" w:space="0" w:color="auto"/>
              <w:right w:val="nil"/>
            </w:tcBorders>
            <w:shd w:val="clear" w:color="000000" w:fill="D9D9D9"/>
            <w:noWrap/>
            <w:vAlign w:val="center"/>
            <w:hideMark/>
          </w:tcPr>
          <w:p w14:paraId="387C357B" w14:textId="77777777" w:rsidR="00461284" w:rsidRPr="005732FC" w:rsidRDefault="00461284" w:rsidP="0014577C">
            <w:pPr>
              <w:spacing w:after="0" w:line="240" w:lineRule="auto"/>
              <w:jc w:val="center"/>
              <w:rPr>
                <w:rFonts w:ascii="Arial" w:eastAsia="Times New Roman" w:hAnsi="Arial" w:cs="Arial"/>
                <w:b/>
                <w:bCs/>
                <w:color w:val="000000"/>
                <w:kern w:val="0"/>
                <w:sz w:val="20"/>
                <w:szCs w:val="20"/>
                <w:lang w:eastAsia="es-MX"/>
                <w14:ligatures w14:val="none"/>
              </w:rPr>
            </w:pPr>
            <w:bookmarkStart w:id="8" w:name="RANGE!F1"/>
            <w:bookmarkStart w:id="9" w:name="_Hlk165407767" w:colFirst="1" w:colLast="2"/>
            <w:bookmarkEnd w:id="7"/>
            <w:r w:rsidRPr="005732FC">
              <w:rPr>
                <w:rFonts w:ascii="Arial" w:eastAsia="Times New Roman" w:hAnsi="Arial" w:cs="Arial"/>
                <w:b/>
                <w:bCs/>
                <w:color w:val="000000"/>
                <w:kern w:val="0"/>
                <w:sz w:val="20"/>
                <w:szCs w:val="20"/>
                <w:lang w:eastAsia="es-MX"/>
                <w14:ligatures w14:val="none"/>
              </w:rPr>
              <w:t>Concepto</w:t>
            </w:r>
            <w:bookmarkEnd w:id="8"/>
          </w:p>
        </w:tc>
        <w:tc>
          <w:tcPr>
            <w:tcW w:w="2114" w:type="dxa"/>
            <w:tcBorders>
              <w:top w:val="single" w:sz="8" w:space="0" w:color="auto"/>
              <w:left w:val="nil"/>
              <w:bottom w:val="single" w:sz="8" w:space="0" w:color="auto"/>
              <w:right w:val="nil"/>
            </w:tcBorders>
            <w:shd w:val="clear" w:color="000000" w:fill="D9D9D9"/>
            <w:vAlign w:val="center"/>
            <w:hideMark/>
          </w:tcPr>
          <w:p w14:paraId="101C6EDA"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2DD55965"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461284" w:rsidRPr="005732FC" w14:paraId="001EFF38" w14:textId="77777777" w:rsidTr="0014577C">
        <w:trPr>
          <w:trHeight w:val="20"/>
        </w:trPr>
        <w:tc>
          <w:tcPr>
            <w:tcW w:w="3840" w:type="dxa"/>
            <w:tcBorders>
              <w:top w:val="nil"/>
              <w:left w:val="nil"/>
              <w:bottom w:val="nil"/>
              <w:right w:val="nil"/>
            </w:tcBorders>
            <w:shd w:val="clear" w:color="auto" w:fill="auto"/>
            <w:noWrap/>
            <w:vAlign w:val="center"/>
            <w:hideMark/>
          </w:tcPr>
          <w:p w14:paraId="7D7F1307"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Efectivo</w:t>
            </w:r>
          </w:p>
        </w:tc>
        <w:tc>
          <w:tcPr>
            <w:tcW w:w="2114" w:type="dxa"/>
            <w:tcBorders>
              <w:top w:val="nil"/>
              <w:left w:val="nil"/>
              <w:bottom w:val="nil"/>
              <w:right w:val="nil"/>
            </w:tcBorders>
            <w:shd w:val="clear" w:color="auto" w:fill="auto"/>
            <w:noWrap/>
            <w:vAlign w:val="center"/>
            <w:hideMark/>
          </w:tcPr>
          <w:p w14:paraId="0F09FFBD"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269,181.07</w:t>
            </w:r>
          </w:p>
        </w:tc>
        <w:tc>
          <w:tcPr>
            <w:tcW w:w="2268" w:type="dxa"/>
            <w:tcBorders>
              <w:top w:val="nil"/>
              <w:left w:val="nil"/>
              <w:bottom w:val="nil"/>
              <w:right w:val="nil"/>
            </w:tcBorders>
            <w:shd w:val="clear" w:color="auto" w:fill="auto"/>
            <w:noWrap/>
            <w:vAlign w:val="center"/>
            <w:hideMark/>
          </w:tcPr>
          <w:p w14:paraId="0DA4A372"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269,181.07</w:t>
            </w:r>
          </w:p>
        </w:tc>
      </w:tr>
      <w:tr w:rsidR="00461284" w:rsidRPr="005732FC" w14:paraId="479848B0" w14:textId="77777777" w:rsidTr="0014577C">
        <w:trPr>
          <w:trHeight w:val="20"/>
        </w:trPr>
        <w:tc>
          <w:tcPr>
            <w:tcW w:w="3840" w:type="dxa"/>
            <w:tcBorders>
              <w:top w:val="nil"/>
              <w:left w:val="nil"/>
              <w:bottom w:val="nil"/>
              <w:right w:val="nil"/>
            </w:tcBorders>
            <w:shd w:val="clear" w:color="auto" w:fill="auto"/>
            <w:noWrap/>
            <w:vAlign w:val="center"/>
            <w:hideMark/>
          </w:tcPr>
          <w:p w14:paraId="4031C0AA"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Bancos/Tesorería</w:t>
            </w:r>
          </w:p>
        </w:tc>
        <w:tc>
          <w:tcPr>
            <w:tcW w:w="2114" w:type="dxa"/>
            <w:tcBorders>
              <w:top w:val="nil"/>
              <w:left w:val="nil"/>
              <w:bottom w:val="nil"/>
              <w:right w:val="nil"/>
            </w:tcBorders>
            <w:shd w:val="clear" w:color="auto" w:fill="auto"/>
            <w:noWrap/>
            <w:vAlign w:val="center"/>
            <w:hideMark/>
          </w:tcPr>
          <w:p w14:paraId="4FB911E0" w14:textId="5EED3990"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1,206,</w:t>
            </w:r>
            <w:r w:rsidR="003613C0" w:rsidRPr="005732FC">
              <w:rPr>
                <w:rFonts w:ascii="Arial" w:eastAsia="Times New Roman" w:hAnsi="Arial" w:cs="Arial"/>
                <w:color w:val="000000"/>
                <w:kern w:val="0"/>
                <w:sz w:val="20"/>
                <w:szCs w:val="20"/>
                <w:lang w:eastAsia="es-MX"/>
                <w14:ligatures w14:val="none"/>
              </w:rPr>
              <w:t>952,521.17</w:t>
            </w:r>
          </w:p>
        </w:tc>
        <w:tc>
          <w:tcPr>
            <w:tcW w:w="2268" w:type="dxa"/>
            <w:tcBorders>
              <w:top w:val="nil"/>
              <w:left w:val="nil"/>
              <w:bottom w:val="nil"/>
              <w:right w:val="nil"/>
            </w:tcBorders>
            <w:shd w:val="clear" w:color="auto" w:fill="auto"/>
            <w:noWrap/>
            <w:vAlign w:val="center"/>
            <w:hideMark/>
          </w:tcPr>
          <w:p w14:paraId="09EF979E"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653,047,472.34</w:t>
            </w:r>
          </w:p>
        </w:tc>
      </w:tr>
      <w:tr w:rsidR="00461284" w:rsidRPr="005732FC" w14:paraId="2D242CAC" w14:textId="77777777" w:rsidTr="0014577C">
        <w:trPr>
          <w:trHeight w:val="20"/>
        </w:trPr>
        <w:tc>
          <w:tcPr>
            <w:tcW w:w="3840" w:type="dxa"/>
            <w:tcBorders>
              <w:top w:val="nil"/>
              <w:left w:val="nil"/>
              <w:bottom w:val="nil"/>
              <w:right w:val="nil"/>
            </w:tcBorders>
            <w:shd w:val="clear" w:color="auto" w:fill="auto"/>
            <w:noWrap/>
            <w:vAlign w:val="center"/>
            <w:hideMark/>
          </w:tcPr>
          <w:p w14:paraId="38295BEF"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Bancos/Dependencias y Otros</w:t>
            </w:r>
          </w:p>
        </w:tc>
        <w:tc>
          <w:tcPr>
            <w:tcW w:w="2114" w:type="dxa"/>
            <w:tcBorders>
              <w:top w:val="nil"/>
              <w:left w:val="nil"/>
              <w:bottom w:val="nil"/>
              <w:right w:val="nil"/>
            </w:tcBorders>
            <w:shd w:val="clear" w:color="auto" w:fill="auto"/>
            <w:noWrap/>
            <w:vAlign w:val="center"/>
            <w:hideMark/>
          </w:tcPr>
          <w:p w14:paraId="25B8AB0E"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noWrap/>
            <w:vAlign w:val="center"/>
            <w:hideMark/>
          </w:tcPr>
          <w:p w14:paraId="3886F9A6"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461284" w:rsidRPr="005732FC" w14:paraId="1E3AEBBB" w14:textId="77777777" w:rsidTr="0014577C">
        <w:trPr>
          <w:trHeight w:val="20"/>
        </w:trPr>
        <w:tc>
          <w:tcPr>
            <w:tcW w:w="3840" w:type="dxa"/>
            <w:tcBorders>
              <w:top w:val="nil"/>
              <w:left w:val="nil"/>
              <w:bottom w:val="nil"/>
              <w:right w:val="nil"/>
            </w:tcBorders>
            <w:shd w:val="clear" w:color="auto" w:fill="auto"/>
            <w:noWrap/>
            <w:vAlign w:val="center"/>
            <w:hideMark/>
          </w:tcPr>
          <w:p w14:paraId="5FD29461"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Inversiones temporales (Hasta 3 meses)</w:t>
            </w:r>
          </w:p>
        </w:tc>
        <w:tc>
          <w:tcPr>
            <w:tcW w:w="2114" w:type="dxa"/>
            <w:tcBorders>
              <w:top w:val="nil"/>
              <w:left w:val="nil"/>
              <w:bottom w:val="nil"/>
              <w:right w:val="nil"/>
            </w:tcBorders>
            <w:shd w:val="clear" w:color="auto" w:fill="auto"/>
            <w:noWrap/>
            <w:vAlign w:val="center"/>
            <w:hideMark/>
          </w:tcPr>
          <w:p w14:paraId="2C933B89"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819,990,738.29</w:t>
            </w:r>
          </w:p>
        </w:tc>
        <w:tc>
          <w:tcPr>
            <w:tcW w:w="2268" w:type="dxa"/>
            <w:tcBorders>
              <w:top w:val="nil"/>
              <w:left w:val="nil"/>
              <w:bottom w:val="nil"/>
              <w:right w:val="nil"/>
            </w:tcBorders>
            <w:shd w:val="clear" w:color="auto" w:fill="auto"/>
            <w:noWrap/>
            <w:vAlign w:val="center"/>
            <w:hideMark/>
          </w:tcPr>
          <w:p w14:paraId="275FB8A2"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526,480,769.07</w:t>
            </w:r>
          </w:p>
        </w:tc>
      </w:tr>
      <w:tr w:rsidR="00461284" w:rsidRPr="005732FC" w14:paraId="1477035E" w14:textId="77777777" w:rsidTr="0014577C">
        <w:trPr>
          <w:trHeight w:val="20"/>
        </w:trPr>
        <w:tc>
          <w:tcPr>
            <w:tcW w:w="3840" w:type="dxa"/>
            <w:tcBorders>
              <w:top w:val="nil"/>
              <w:left w:val="nil"/>
              <w:bottom w:val="nil"/>
              <w:right w:val="nil"/>
            </w:tcBorders>
            <w:shd w:val="clear" w:color="auto" w:fill="auto"/>
            <w:noWrap/>
            <w:vAlign w:val="center"/>
            <w:hideMark/>
          </w:tcPr>
          <w:p w14:paraId="55722658"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Fondos con Afectación Específica</w:t>
            </w:r>
          </w:p>
        </w:tc>
        <w:tc>
          <w:tcPr>
            <w:tcW w:w="2114" w:type="dxa"/>
            <w:tcBorders>
              <w:top w:val="nil"/>
              <w:left w:val="nil"/>
              <w:bottom w:val="nil"/>
              <w:right w:val="nil"/>
            </w:tcBorders>
            <w:shd w:val="clear" w:color="auto" w:fill="auto"/>
            <w:noWrap/>
            <w:vAlign w:val="center"/>
            <w:hideMark/>
          </w:tcPr>
          <w:p w14:paraId="1735EDC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noWrap/>
            <w:vAlign w:val="center"/>
            <w:hideMark/>
          </w:tcPr>
          <w:p w14:paraId="0AEF2BFB"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461284" w:rsidRPr="005732FC" w14:paraId="20B838B8" w14:textId="77777777" w:rsidTr="0014577C">
        <w:trPr>
          <w:trHeight w:val="20"/>
        </w:trPr>
        <w:tc>
          <w:tcPr>
            <w:tcW w:w="3840" w:type="dxa"/>
            <w:tcBorders>
              <w:top w:val="nil"/>
              <w:left w:val="nil"/>
              <w:bottom w:val="nil"/>
              <w:right w:val="nil"/>
            </w:tcBorders>
            <w:shd w:val="clear" w:color="auto" w:fill="auto"/>
            <w:vAlign w:val="center"/>
            <w:hideMark/>
          </w:tcPr>
          <w:p w14:paraId="34C8F60E"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de Fondos de Terceros en Garantía y/o Administración</w:t>
            </w:r>
          </w:p>
        </w:tc>
        <w:tc>
          <w:tcPr>
            <w:tcW w:w="2114" w:type="dxa"/>
            <w:tcBorders>
              <w:top w:val="nil"/>
              <w:left w:val="nil"/>
              <w:bottom w:val="nil"/>
              <w:right w:val="nil"/>
            </w:tcBorders>
            <w:shd w:val="clear" w:color="auto" w:fill="auto"/>
            <w:noWrap/>
            <w:vAlign w:val="center"/>
            <w:hideMark/>
          </w:tcPr>
          <w:p w14:paraId="1C9446D0"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479,470,486.56</w:t>
            </w:r>
          </w:p>
        </w:tc>
        <w:tc>
          <w:tcPr>
            <w:tcW w:w="2268" w:type="dxa"/>
            <w:tcBorders>
              <w:top w:val="nil"/>
              <w:left w:val="nil"/>
              <w:bottom w:val="nil"/>
              <w:right w:val="nil"/>
            </w:tcBorders>
            <w:shd w:val="clear" w:color="auto" w:fill="auto"/>
            <w:noWrap/>
            <w:vAlign w:val="center"/>
            <w:hideMark/>
          </w:tcPr>
          <w:p w14:paraId="7F6D573A"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418,278,732.42</w:t>
            </w:r>
          </w:p>
        </w:tc>
      </w:tr>
      <w:tr w:rsidR="00461284" w:rsidRPr="005732FC" w14:paraId="7DD7CB04" w14:textId="77777777" w:rsidTr="0014577C">
        <w:trPr>
          <w:trHeight w:val="20"/>
        </w:trPr>
        <w:tc>
          <w:tcPr>
            <w:tcW w:w="3840" w:type="dxa"/>
            <w:tcBorders>
              <w:top w:val="nil"/>
              <w:left w:val="nil"/>
              <w:bottom w:val="single" w:sz="8" w:space="0" w:color="auto"/>
              <w:right w:val="nil"/>
            </w:tcBorders>
            <w:shd w:val="clear" w:color="auto" w:fill="auto"/>
            <w:noWrap/>
            <w:vAlign w:val="center"/>
            <w:hideMark/>
          </w:tcPr>
          <w:p w14:paraId="5664AD01"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Otros Efectivos y Equivalentes</w:t>
            </w:r>
          </w:p>
        </w:tc>
        <w:tc>
          <w:tcPr>
            <w:tcW w:w="2114" w:type="dxa"/>
            <w:tcBorders>
              <w:top w:val="nil"/>
              <w:left w:val="nil"/>
              <w:bottom w:val="single" w:sz="8" w:space="0" w:color="auto"/>
              <w:right w:val="nil"/>
            </w:tcBorders>
            <w:shd w:val="clear" w:color="auto" w:fill="auto"/>
            <w:noWrap/>
            <w:vAlign w:val="center"/>
            <w:hideMark/>
          </w:tcPr>
          <w:p w14:paraId="6F4DE81C"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8" w:space="0" w:color="auto"/>
              <w:right w:val="nil"/>
            </w:tcBorders>
            <w:shd w:val="clear" w:color="auto" w:fill="auto"/>
            <w:noWrap/>
            <w:vAlign w:val="center"/>
            <w:hideMark/>
          </w:tcPr>
          <w:p w14:paraId="1ACE77D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461284" w:rsidRPr="005732FC" w14:paraId="46ADB46E" w14:textId="77777777" w:rsidTr="0014577C">
        <w:trPr>
          <w:trHeight w:val="20"/>
        </w:trPr>
        <w:tc>
          <w:tcPr>
            <w:tcW w:w="3840" w:type="dxa"/>
            <w:tcBorders>
              <w:top w:val="nil"/>
              <w:left w:val="nil"/>
              <w:bottom w:val="single" w:sz="8" w:space="0" w:color="auto"/>
              <w:right w:val="nil"/>
            </w:tcBorders>
            <w:shd w:val="clear" w:color="000000" w:fill="D9D9D9"/>
            <w:noWrap/>
            <w:vAlign w:val="center"/>
            <w:hideMark/>
          </w:tcPr>
          <w:p w14:paraId="5A9451D6" w14:textId="77777777" w:rsidR="00461284" w:rsidRPr="005732FC" w:rsidRDefault="00461284" w:rsidP="0014577C">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2114" w:type="dxa"/>
            <w:tcBorders>
              <w:top w:val="nil"/>
              <w:left w:val="nil"/>
              <w:bottom w:val="single" w:sz="8" w:space="0" w:color="auto"/>
              <w:right w:val="nil"/>
            </w:tcBorders>
            <w:shd w:val="clear" w:color="000000" w:fill="D9D9D9"/>
            <w:noWrap/>
            <w:vAlign w:val="center"/>
            <w:hideMark/>
          </w:tcPr>
          <w:p w14:paraId="0714627A" w14:textId="19A63F0E"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2,506,</w:t>
            </w:r>
            <w:r w:rsidR="003613C0" w:rsidRPr="005732FC">
              <w:rPr>
                <w:rFonts w:ascii="Arial" w:eastAsia="Times New Roman" w:hAnsi="Arial" w:cs="Arial"/>
                <w:b/>
                <w:bCs/>
                <w:color w:val="000000"/>
                <w:kern w:val="0"/>
                <w:sz w:val="20"/>
                <w:szCs w:val="20"/>
                <w:lang w:eastAsia="es-MX"/>
                <w14:ligatures w14:val="none"/>
              </w:rPr>
              <w:t>682,927.09</w:t>
            </w:r>
          </w:p>
        </w:tc>
        <w:tc>
          <w:tcPr>
            <w:tcW w:w="2268" w:type="dxa"/>
            <w:tcBorders>
              <w:top w:val="nil"/>
              <w:left w:val="nil"/>
              <w:bottom w:val="single" w:sz="8" w:space="0" w:color="auto"/>
              <w:right w:val="nil"/>
            </w:tcBorders>
            <w:shd w:val="clear" w:color="000000" w:fill="D9D9D9"/>
            <w:noWrap/>
            <w:vAlign w:val="center"/>
            <w:hideMark/>
          </w:tcPr>
          <w:p w14:paraId="34128CBB"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1,598,076,154.90</w:t>
            </w:r>
          </w:p>
        </w:tc>
      </w:tr>
      <w:bookmarkEnd w:id="9"/>
    </w:tbl>
    <w:p w14:paraId="4B5762ED" w14:textId="77777777" w:rsidR="00FB28EE" w:rsidRPr="005732FC" w:rsidRDefault="00FB28EE" w:rsidP="005D2B3E">
      <w:pPr>
        <w:spacing w:after="0"/>
        <w:jc w:val="both"/>
        <w:rPr>
          <w:rFonts w:ascii="Arial" w:hAnsi="Arial" w:cs="Arial"/>
          <w:sz w:val="20"/>
          <w:szCs w:val="20"/>
        </w:rPr>
      </w:pPr>
    </w:p>
    <w:p w14:paraId="2FE8B370" w14:textId="75A9A639" w:rsidR="00453C9D" w:rsidRPr="005732FC" w:rsidRDefault="00FB28EE" w:rsidP="005D2B3E">
      <w:pPr>
        <w:spacing w:after="0"/>
        <w:jc w:val="both"/>
        <w:rPr>
          <w:rFonts w:ascii="Arial" w:hAnsi="Arial" w:cs="Arial"/>
          <w:sz w:val="20"/>
          <w:szCs w:val="20"/>
        </w:rPr>
      </w:pPr>
      <w:r w:rsidRPr="005732FC">
        <w:rPr>
          <w:rFonts w:ascii="Arial" w:hAnsi="Arial" w:cs="Arial"/>
          <w:sz w:val="20"/>
          <w:szCs w:val="20"/>
        </w:rPr>
        <w:t xml:space="preserve">Durante los meses de </w:t>
      </w:r>
      <w:r w:rsidR="00440215" w:rsidRPr="005732FC">
        <w:rPr>
          <w:rFonts w:ascii="Arial" w:hAnsi="Arial" w:cs="Arial"/>
          <w:sz w:val="20"/>
          <w:szCs w:val="20"/>
        </w:rPr>
        <w:t>enero</w:t>
      </w:r>
      <w:r w:rsidRPr="005732FC">
        <w:rPr>
          <w:rFonts w:ascii="Arial" w:hAnsi="Arial" w:cs="Arial"/>
          <w:sz w:val="20"/>
          <w:szCs w:val="20"/>
        </w:rPr>
        <w:t>, febrero y marzo</w:t>
      </w:r>
      <w:r w:rsidR="00440215" w:rsidRPr="005732FC">
        <w:rPr>
          <w:rFonts w:ascii="Arial" w:hAnsi="Arial" w:cs="Arial"/>
          <w:sz w:val="20"/>
          <w:szCs w:val="20"/>
        </w:rPr>
        <w:t xml:space="preserve"> del </w:t>
      </w:r>
      <w:r w:rsidR="00453C9D" w:rsidRPr="005732FC">
        <w:rPr>
          <w:rFonts w:ascii="Arial" w:hAnsi="Arial" w:cs="Arial"/>
          <w:sz w:val="20"/>
          <w:szCs w:val="20"/>
        </w:rPr>
        <w:t>ejercicio fiscal 202</w:t>
      </w:r>
      <w:r w:rsidR="00440215" w:rsidRPr="005732FC">
        <w:rPr>
          <w:rFonts w:ascii="Arial" w:hAnsi="Arial" w:cs="Arial"/>
          <w:sz w:val="20"/>
          <w:szCs w:val="20"/>
        </w:rPr>
        <w:t>5,</w:t>
      </w:r>
      <w:r w:rsidR="00453C9D" w:rsidRPr="005732FC">
        <w:rPr>
          <w:rFonts w:ascii="Arial" w:hAnsi="Arial" w:cs="Arial"/>
          <w:sz w:val="20"/>
          <w:szCs w:val="20"/>
        </w:rPr>
        <w:t xml:space="preserve"> se llevó a cabo la </w:t>
      </w:r>
      <w:r w:rsidR="00440215" w:rsidRPr="005732FC">
        <w:rPr>
          <w:rFonts w:ascii="Arial" w:hAnsi="Arial" w:cs="Arial"/>
          <w:sz w:val="20"/>
          <w:szCs w:val="20"/>
        </w:rPr>
        <w:t>campaña de</w:t>
      </w:r>
      <w:r w:rsidR="00453C9D" w:rsidRPr="005732FC">
        <w:rPr>
          <w:rFonts w:ascii="Arial" w:hAnsi="Arial" w:cs="Arial"/>
          <w:sz w:val="20"/>
          <w:szCs w:val="20"/>
        </w:rPr>
        <w:t xml:space="preserve"> recaudación de impuesto predial</w:t>
      </w:r>
      <w:r w:rsidR="00440215" w:rsidRPr="005732FC">
        <w:rPr>
          <w:rFonts w:ascii="Arial" w:hAnsi="Arial" w:cs="Arial"/>
          <w:sz w:val="20"/>
          <w:szCs w:val="20"/>
        </w:rPr>
        <w:t xml:space="preserve"> “Ahorra tu dinero y paga en enero”</w:t>
      </w:r>
      <w:r w:rsidR="00811DB5" w:rsidRPr="005732FC">
        <w:rPr>
          <w:rFonts w:ascii="Arial" w:hAnsi="Arial" w:cs="Arial"/>
          <w:sz w:val="20"/>
          <w:szCs w:val="20"/>
        </w:rPr>
        <w:t>,</w:t>
      </w:r>
      <w:r w:rsidR="00440215" w:rsidRPr="005732FC">
        <w:rPr>
          <w:rFonts w:ascii="Arial" w:hAnsi="Arial" w:cs="Arial"/>
          <w:sz w:val="20"/>
          <w:szCs w:val="20"/>
        </w:rPr>
        <w:t xml:space="preserve"> en el cual se otorgaron subsidios desde el 5</w:t>
      </w:r>
      <w:r w:rsidR="00EA788C" w:rsidRPr="005732FC">
        <w:rPr>
          <w:rFonts w:ascii="Arial" w:hAnsi="Arial" w:cs="Arial"/>
          <w:sz w:val="20"/>
          <w:szCs w:val="20"/>
        </w:rPr>
        <w:t>%</w:t>
      </w:r>
      <w:r w:rsidR="00440215" w:rsidRPr="005732FC">
        <w:rPr>
          <w:rFonts w:ascii="Arial" w:hAnsi="Arial" w:cs="Arial"/>
          <w:sz w:val="20"/>
          <w:szCs w:val="20"/>
        </w:rPr>
        <w:t xml:space="preserve"> hasta el 50%</w:t>
      </w:r>
      <w:r w:rsidR="00811DB5" w:rsidRPr="005732FC">
        <w:rPr>
          <w:rFonts w:ascii="Arial" w:hAnsi="Arial" w:cs="Arial"/>
          <w:sz w:val="20"/>
          <w:szCs w:val="20"/>
        </w:rPr>
        <w:t>;</w:t>
      </w:r>
      <w:r w:rsidR="00440215" w:rsidRPr="005732FC">
        <w:rPr>
          <w:rFonts w:ascii="Arial" w:hAnsi="Arial" w:cs="Arial"/>
          <w:sz w:val="20"/>
          <w:szCs w:val="20"/>
        </w:rPr>
        <w:t xml:space="preserve"> </w:t>
      </w:r>
      <w:r w:rsidR="00811DB5" w:rsidRPr="005732FC">
        <w:rPr>
          <w:rFonts w:ascii="Arial" w:hAnsi="Arial" w:cs="Arial"/>
          <w:sz w:val="20"/>
          <w:szCs w:val="20"/>
        </w:rPr>
        <w:t>esto</w:t>
      </w:r>
      <w:r w:rsidR="00440215" w:rsidRPr="005732FC">
        <w:rPr>
          <w:rFonts w:ascii="Arial" w:hAnsi="Arial" w:cs="Arial"/>
          <w:sz w:val="20"/>
          <w:szCs w:val="20"/>
        </w:rPr>
        <w:t xml:space="preserve"> generó</w:t>
      </w:r>
      <w:r w:rsidR="00453C9D" w:rsidRPr="005732FC">
        <w:rPr>
          <w:rFonts w:ascii="Arial" w:hAnsi="Arial" w:cs="Arial"/>
          <w:sz w:val="20"/>
          <w:szCs w:val="20"/>
        </w:rPr>
        <w:t xml:space="preserve"> un impacto </w:t>
      </w:r>
      <w:r w:rsidR="00440215" w:rsidRPr="005732FC">
        <w:rPr>
          <w:rFonts w:ascii="Arial" w:hAnsi="Arial" w:cs="Arial"/>
          <w:sz w:val="20"/>
          <w:szCs w:val="20"/>
        </w:rPr>
        <w:t>favorable</w:t>
      </w:r>
      <w:r w:rsidR="00453C9D" w:rsidRPr="005732FC">
        <w:rPr>
          <w:rFonts w:ascii="Arial" w:hAnsi="Arial" w:cs="Arial"/>
          <w:sz w:val="20"/>
          <w:szCs w:val="20"/>
        </w:rPr>
        <w:t xml:space="preserve"> en las cifras</w:t>
      </w:r>
      <w:r w:rsidR="00440215" w:rsidRPr="005732FC">
        <w:rPr>
          <w:rFonts w:ascii="Arial" w:hAnsi="Arial" w:cs="Arial"/>
          <w:sz w:val="20"/>
          <w:szCs w:val="20"/>
        </w:rPr>
        <w:t xml:space="preserve"> en la cuenta Bancos/Tesorería </w:t>
      </w:r>
      <w:r w:rsidR="00453C9D" w:rsidRPr="005732FC">
        <w:rPr>
          <w:rFonts w:ascii="Arial" w:hAnsi="Arial" w:cs="Arial"/>
          <w:sz w:val="20"/>
          <w:szCs w:val="20"/>
        </w:rPr>
        <w:t xml:space="preserve">al </w:t>
      </w:r>
      <w:r w:rsidR="00440215" w:rsidRPr="005732FC">
        <w:rPr>
          <w:rFonts w:ascii="Arial" w:hAnsi="Arial" w:cs="Arial"/>
          <w:sz w:val="20"/>
          <w:szCs w:val="20"/>
        </w:rPr>
        <w:t xml:space="preserve">final del </w:t>
      </w:r>
      <w:r w:rsidR="00B77441" w:rsidRPr="005732FC">
        <w:rPr>
          <w:rFonts w:ascii="Arial" w:hAnsi="Arial" w:cs="Arial"/>
          <w:sz w:val="20"/>
          <w:szCs w:val="20"/>
        </w:rPr>
        <w:t>primer trimestre</w:t>
      </w:r>
      <w:r w:rsidR="00380770" w:rsidRPr="005732FC">
        <w:rPr>
          <w:rFonts w:ascii="Arial" w:hAnsi="Arial" w:cs="Arial"/>
          <w:sz w:val="20"/>
          <w:szCs w:val="20"/>
        </w:rPr>
        <w:t xml:space="preserve"> del año 2025</w:t>
      </w:r>
      <w:r w:rsidR="00391A05" w:rsidRPr="005732FC">
        <w:rPr>
          <w:rFonts w:ascii="Arial" w:hAnsi="Arial" w:cs="Arial"/>
          <w:sz w:val="20"/>
          <w:szCs w:val="20"/>
        </w:rPr>
        <w:t>, el cual presentó un</w:t>
      </w:r>
      <w:r w:rsidR="00440215" w:rsidRPr="005732FC">
        <w:rPr>
          <w:rFonts w:ascii="Arial" w:hAnsi="Arial" w:cs="Arial"/>
          <w:sz w:val="20"/>
          <w:szCs w:val="20"/>
        </w:rPr>
        <w:t xml:space="preserve"> aumento</w:t>
      </w:r>
      <w:r w:rsidR="00391A05" w:rsidRPr="005732FC">
        <w:rPr>
          <w:rFonts w:ascii="Arial" w:hAnsi="Arial" w:cs="Arial"/>
          <w:sz w:val="20"/>
          <w:szCs w:val="20"/>
        </w:rPr>
        <w:t xml:space="preserve"> </w:t>
      </w:r>
      <w:r w:rsidR="009221D0" w:rsidRPr="005732FC">
        <w:rPr>
          <w:rFonts w:ascii="Arial" w:hAnsi="Arial" w:cs="Arial"/>
          <w:sz w:val="20"/>
          <w:szCs w:val="20"/>
        </w:rPr>
        <w:t>de</w:t>
      </w:r>
      <w:r w:rsidR="00831FE6" w:rsidRPr="005732FC">
        <w:rPr>
          <w:rFonts w:ascii="Arial" w:hAnsi="Arial" w:cs="Arial"/>
          <w:sz w:val="20"/>
          <w:szCs w:val="20"/>
        </w:rPr>
        <w:t>l 99</w:t>
      </w:r>
      <w:r w:rsidR="00391A05" w:rsidRPr="005732FC">
        <w:rPr>
          <w:rFonts w:ascii="Arial" w:hAnsi="Arial" w:cs="Arial"/>
          <w:sz w:val="20"/>
          <w:szCs w:val="20"/>
        </w:rPr>
        <w:t>%</w:t>
      </w:r>
      <w:r w:rsidR="00440215" w:rsidRPr="005732FC">
        <w:rPr>
          <w:rFonts w:ascii="Arial" w:hAnsi="Arial" w:cs="Arial"/>
          <w:sz w:val="20"/>
          <w:szCs w:val="20"/>
        </w:rPr>
        <w:t xml:space="preserve">, </w:t>
      </w:r>
      <w:r w:rsidR="00391A05" w:rsidRPr="005732FC">
        <w:rPr>
          <w:rFonts w:ascii="Arial" w:hAnsi="Arial" w:cs="Arial"/>
          <w:sz w:val="20"/>
          <w:szCs w:val="20"/>
        </w:rPr>
        <w:t>respecto al saldo de dicho concepto al 31 de diciembre de 202</w:t>
      </w:r>
      <w:r w:rsidR="00440215" w:rsidRPr="005732FC">
        <w:rPr>
          <w:rFonts w:ascii="Arial" w:hAnsi="Arial" w:cs="Arial"/>
          <w:sz w:val="20"/>
          <w:szCs w:val="20"/>
        </w:rPr>
        <w:t>4.</w:t>
      </w:r>
    </w:p>
    <w:p w14:paraId="14E8DE41" w14:textId="77777777" w:rsidR="00453C9D" w:rsidRPr="005732FC" w:rsidRDefault="00453C9D" w:rsidP="005D2B3E">
      <w:pPr>
        <w:spacing w:after="0"/>
        <w:jc w:val="both"/>
        <w:rPr>
          <w:rFonts w:ascii="Arial" w:hAnsi="Arial" w:cs="Arial"/>
          <w:sz w:val="20"/>
          <w:szCs w:val="20"/>
        </w:rPr>
      </w:pPr>
    </w:p>
    <w:p w14:paraId="2FECFF4C" w14:textId="77777777" w:rsidR="00A16AD9" w:rsidRPr="005732FC" w:rsidRDefault="00A16AD9" w:rsidP="00A16AD9">
      <w:pPr>
        <w:pStyle w:val="Prrafodelista"/>
        <w:numPr>
          <w:ilvl w:val="1"/>
          <w:numId w:val="14"/>
        </w:numPr>
        <w:spacing w:after="200" w:line="240" w:lineRule="auto"/>
        <w:ind w:left="0"/>
        <w:jc w:val="both"/>
        <w:outlineLvl w:val="2"/>
        <w:rPr>
          <w:rFonts w:ascii="Arial" w:hAnsi="Arial" w:cs="Arial"/>
          <w:sz w:val="20"/>
          <w:szCs w:val="20"/>
        </w:rPr>
      </w:pPr>
      <w:r w:rsidRPr="005732FC">
        <w:rPr>
          <w:rFonts w:ascii="Arial" w:hAnsi="Arial" w:cs="Arial"/>
          <w:sz w:val="20"/>
          <w:szCs w:val="20"/>
        </w:rPr>
        <w:t>El saldo de la cuenta de Inversiones Temporales (hasta 3 meses) al 30 de junio del 2025 se integra de la siguiente manera:</w:t>
      </w:r>
    </w:p>
    <w:tbl>
      <w:tblPr>
        <w:tblW w:w="9923" w:type="dxa"/>
        <w:tblCellMar>
          <w:left w:w="70" w:type="dxa"/>
          <w:right w:w="70" w:type="dxa"/>
        </w:tblCellMar>
        <w:tblLook w:val="04A0" w:firstRow="1" w:lastRow="0" w:firstColumn="1" w:lastColumn="0" w:noHBand="0" w:noVBand="1"/>
      </w:tblPr>
      <w:tblGrid>
        <w:gridCol w:w="5670"/>
        <w:gridCol w:w="1985"/>
        <w:gridCol w:w="2268"/>
      </w:tblGrid>
      <w:tr w:rsidR="00A16AD9" w:rsidRPr="005732FC" w14:paraId="28CCBDE7" w14:textId="77777777" w:rsidTr="008C77A6">
        <w:trPr>
          <w:trHeight w:val="270"/>
        </w:trPr>
        <w:tc>
          <w:tcPr>
            <w:tcW w:w="5670" w:type="dxa"/>
            <w:tcBorders>
              <w:top w:val="single" w:sz="8" w:space="0" w:color="auto"/>
              <w:left w:val="nil"/>
              <w:bottom w:val="single" w:sz="8" w:space="0" w:color="auto"/>
              <w:right w:val="nil"/>
            </w:tcBorders>
            <w:shd w:val="clear" w:color="000000" w:fill="D9D9D9"/>
            <w:noWrap/>
            <w:vAlign w:val="center"/>
            <w:hideMark/>
          </w:tcPr>
          <w:p w14:paraId="320AD1B0" w14:textId="77777777" w:rsidR="00A16AD9" w:rsidRPr="005732FC" w:rsidRDefault="00A16AD9"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1985" w:type="dxa"/>
            <w:tcBorders>
              <w:top w:val="single" w:sz="8" w:space="0" w:color="auto"/>
              <w:left w:val="nil"/>
              <w:bottom w:val="single" w:sz="8" w:space="0" w:color="auto"/>
              <w:right w:val="nil"/>
            </w:tcBorders>
            <w:shd w:val="clear" w:color="000000" w:fill="D9D9D9"/>
            <w:vAlign w:val="center"/>
            <w:hideMark/>
          </w:tcPr>
          <w:p w14:paraId="641B26ED" w14:textId="77777777" w:rsidR="00A16AD9" w:rsidRPr="005732FC" w:rsidRDefault="00A16AD9"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00B131B6" w14:textId="77777777" w:rsidR="00A16AD9" w:rsidRPr="005732FC" w:rsidRDefault="00A16AD9"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A16AD9" w:rsidRPr="005732FC" w14:paraId="50C1F024" w14:textId="77777777" w:rsidTr="008C77A6">
        <w:trPr>
          <w:trHeight w:val="255"/>
        </w:trPr>
        <w:tc>
          <w:tcPr>
            <w:tcW w:w="5670" w:type="dxa"/>
            <w:tcBorders>
              <w:top w:val="nil"/>
              <w:left w:val="nil"/>
              <w:bottom w:val="nil"/>
              <w:right w:val="nil"/>
            </w:tcBorders>
            <w:shd w:val="clear" w:color="auto" w:fill="auto"/>
            <w:noWrap/>
            <w:vAlign w:val="center"/>
            <w:hideMark/>
          </w:tcPr>
          <w:p w14:paraId="519E15E5" w14:textId="77777777" w:rsidR="00A16AD9" w:rsidRPr="005732FC" w:rsidRDefault="00A16AD9"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BANORTE 1106819486 FID.750179</w:t>
            </w:r>
          </w:p>
        </w:tc>
        <w:tc>
          <w:tcPr>
            <w:tcW w:w="1985" w:type="dxa"/>
            <w:tcBorders>
              <w:top w:val="nil"/>
              <w:left w:val="nil"/>
              <w:bottom w:val="nil"/>
              <w:right w:val="nil"/>
            </w:tcBorders>
            <w:shd w:val="clear" w:color="auto" w:fill="auto"/>
            <w:noWrap/>
            <w:vAlign w:val="center"/>
            <w:hideMark/>
          </w:tcPr>
          <w:p w14:paraId="38BAC267" w14:textId="77777777" w:rsidR="00A16AD9" w:rsidRPr="005732FC" w:rsidRDefault="00A16AD9"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109,468.99</w:t>
            </w:r>
          </w:p>
        </w:tc>
        <w:tc>
          <w:tcPr>
            <w:tcW w:w="2268" w:type="dxa"/>
            <w:tcBorders>
              <w:top w:val="nil"/>
              <w:left w:val="nil"/>
              <w:bottom w:val="nil"/>
              <w:right w:val="nil"/>
            </w:tcBorders>
            <w:shd w:val="clear" w:color="auto" w:fill="auto"/>
            <w:noWrap/>
            <w:vAlign w:val="center"/>
            <w:hideMark/>
          </w:tcPr>
          <w:p w14:paraId="6FC0C13B" w14:textId="77777777" w:rsidR="00A16AD9" w:rsidRPr="005732FC" w:rsidRDefault="00A16AD9"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107,532.05</w:t>
            </w:r>
          </w:p>
        </w:tc>
      </w:tr>
      <w:tr w:rsidR="00A16AD9" w:rsidRPr="005732FC" w14:paraId="3B9472D6" w14:textId="77777777" w:rsidTr="008C77A6">
        <w:trPr>
          <w:trHeight w:val="255"/>
        </w:trPr>
        <w:tc>
          <w:tcPr>
            <w:tcW w:w="5670" w:type="dxa"/>
            <w:tcBorders>
              <w:top w:val="nil"/>
              <w:left w:val="nil"/>
              <w:bottom w:val="nil"/>
              <w:right w:val="nil"/>
            </w:tcBorders>
            <w:shd w:val="clear" w:color="auto" w:fill="auto"/>
            <w:noWrap/>
            <w:vAlign w:val="center"/>
            <w:hideMark/>
          </w:tcPr>
          <w:p w14:paraId="3B266AB9" w14:textId="77777777" w:rsidR="00A16AD9" w:rsidRPr="005732FC" w:rsidRDefault="00A16AD9"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BBVA BANCOMER cta. 5911 FID.4106951</w:t>
            </w:r>
          </w:p>
        </w:tc>
        <w:tc>
          <w:tcPr>
            <w:tcW w:w="1985" w:type="dxa"/>
            <w:tcBorders>
              <w:top w:val="nil"/>
              <w:left w:val="nil"/>
              <w:bottom w:val="nil"/>
              <w:right w:val="nil"/>
            </w:tcBorders>
            <w:shd w:val="clear" w:color="auto" w:fill="auto"/>
            <w:noWrap/>
            <w:vAlign w:val="center"/>
            <w:hideMark/>
          </w:tcPr>
          <w:p w14:paraId="4BD90649" w14:textId="77777777" w:rsidR="00A16AD9" w:rsidRPr="005732FC" w:rsidRDefault="00A16AD9"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800,000,000.00</w:t>
            </w:r>
          </w:p>
        </w:tc>
        <w:tc>
          <w:tcPr>
            <w:tcW w:w="2268" w:type="dxa"/>
            <w:tcBorders>
              <w:top w:val="nil"/>
              <w:left w:val="nil"/>
              <w:bottom w:val="nil"/>
              <w:right w:val="nil"/>
            </w:tcBorders>
            <w:shd w:val="clear" w:color="auto" w:fill="auto"/>
            <w:noWrap/>
            <w:vAlign w:val="center"/>
            <w:hideMark/>
          </w:tcPr>
          <w:p w14:paraId="5FD2F882" w14:textId="77777777" w:rsidR="00A16AD9" w:rsidRPr="005732FC" w:rsidRDefault="00A16AD9"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450,000,000.00</w:t>
            </w:r>
          </w:p>
        </w:tc>
      </w:tr>
      <w:tr w:rsidR="00A16AD9" w:rsidRPr="005732FC" w14:paraId="3D63F7FD" w14:textId="77777777" w:rsidTr="008C77A6">
        <w:trPr>
          <w:trHeight w:val="244"/>
        </w:trPr>
        <w:tc>
          <w:tcPr>
            <w:tcW w:w="5670" w:type="dxa"/>
            <w:tcBorders>
              <w:top w:val="nil"/>
              <w:left w:val="nil"/>
              <w:bottom w:val="nil"/>
              <w:right w:val="nil"/>
            </w:tcBorders>
            <w:shd w:val="clear" w:color="auto" w:fill="auto"/>
            <w:vAlign w:val="center"/>
            <w:hideMark/>
          </w:tcPr>
          <w:p w14:paraId="49064CE4" w14:textId="77777777" w:rsidR="00A16AD9" w:rsidRPr="005732FC" w:rsidRDefault="00A16AD9"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BBVA MÉXICO S.A. 1003039099 FID.4124053</w:t>
            </w:r>
          </w:p>
        </w:tc>
        <w:tc>
          <w:tcPr>
            <w:tcW w:w="1985" w:type="dxa"/>
            <w:tcBorders>
              <w:top w:val="nil"/>
              <w:left w:val="nil"/>
              <w:bottom w:val="nil"/>
              <w:right w:val="nil"/>
            </w:tcBorders>
            <w:shd w:val="clear" w:color="auto" w:fill="auto"/>
            <w:noWrap/>
            <w:vAlign w:val="center"/>
            <w:hideMark/>
          </w:tcPr>
          <w:p w14:paraId="11C095CE" w14:textId="77777777" w:rsidR="00A16AD9" w:rsidRPr="005732FC" w:rsidRDefault="00A16AD9"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noWrap/>
            <w:vAlign w:val="center"/>
            <w:hideMark/>
          </w:tcPr>
          <w:p w14:paraId="243FC48C" w14:textId="77777777" w:rsidR="00A16AD9" w:rsidRPr="005732FC" w:rsidRDefault="00A16AD9"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56,491,967.74</w:t>
            </w:r>
          </w:p>
        </w:tc>
      </w:tr>
      <w:tr w:rsidR="00A16AD9" w:rsidRPr="005732FC" w14:paraId="7043D28C" w14:textId="77777777" w:rsidTr="008C77A6">
        <w:trPr>
          <w:trHeight w:val="270"/>
        </w:trPr>
        <w:tc>
          <w:tcPr>
            <w:tcW w:w="5670" w:type="dxa"/>
            <w:tcBorders>
              <w:top w:val="nil"/>
              <w:left w:val="nil"/>
              <w:bottom w:val="single" w:sz="8" w:space="0" w:color="auto"/>
              <w:right w:val="nil"/>
            </w:tcBorders>
            <w:shd w:val="clear" w:color="auto" w:fill="auto"/>
            <w:noWrap/>
            <w:vAlign w:val="center"/>
            <w:hideMark/>
          </w:tcPr>
          <w:p w14:paraId="3F2D898A" w14:textId="77777777" w:rsidR="00A16AD9" w:rsidRPr="005732FC" w:rsidRDefault="00A16AD9"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Fideicomiso BBVA BANCOMER cta. 3598 FID.4109047</w:t>
            </w:r>
          </w:p>
        </w:tc>
        <w:tc>
          <w:tcPr>
            <w:tcW w:w="1985" w:type="dxa"/>
            <w:tcBorders>
              <w:top w:val="nil"/>
              <w:left w:val="nil"/>
              <w:bottom w:val="nil"/>
              <w:right w:val="nil"/>
            </w:tcBorders>
            <w:shd w:val="clear" w:color="auto" w:fill="auto"/>
            <w:noWrap/>
            <w:vAlign w:val="center"/>
            <w:hideMark/>
          </w:tcPr>
          <w:p w14:paraId="51024ACC" w14:textId="77777777" w:rsidR="00A16AD9" w:rsidRPr="005732FC" w:rsidRDefault="00A16AD9"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19,881,269.30</w:t>
            </w:r>
          </w:p>
        </w:tc>
        <w:tc>
          <w:tcPr>
            <w:tcW w:w="2268" w:type="dxa"/>
            <w:tcBorders>
              <w:top w:val="nil"/>
              <w:left w:val="nil"/>
              <w:bottom w:val="nil"/>
              <w:right w:val="nil"/>
            </w:tcBorders>
            <w:shd w:val="clear" w:color="auto" w:fill="auto"/>
            <w:noWrap/>
            <w:vAlign w:val="center"/>
            <w:hideMark/>
          </w:tcPr>
          <w:p w14:paraId="5FFC61E1" w14:textId="77777777" w:rsidR="00A16AD9" w:rsidRPr="005732FC" w:rsidRDefault="00A16AD9"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19,881,269.28</w:t>
            </w:r>
          </w:p>
        </w:tc>
      </w:tr>
      <w:tr w:rsidR="00A16AD9" w:rsidRPr="005732FC" w14:paraId="59E361D8" w14:textId="77777777" w:rsidTr="008C77A6">
        <w:trPr>
          <w:trHeight w:val="270"/>
        </w:trPr>
        <w:tc>
          <w:tcPr>
            <w:tcW w:w="5670" w:type="dxa"/>
            <w:tcBorders>
              <w:top w:val="nil"/>
              <w:left w:val="nil"/>
              <w:bottom w:val="single" w:sz="8" w:space="0" w:color="auto"/>
              <w:right w:val="nil"/>
            </w:tcBorders>
            <w:shd w:val="clear" w:color="000000" w:fill="D9D9D9"/>
            <w:noWrap/>
            <w:vAlign w:val="center"/>
            <w:hideMark/>
          </w:tcPr>
          <w:p w14:paraId="74F12E95" w14:textId="77777777" w:rsidR="00A16AD9" w:rsidRPr="005732FC" w:rsidRDefault="00A16AD9"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1985" w:type="dxa"/>
            <w:tcBorders>
              <w:top w:val="single" w:sz="8" w:space="0" w:color="auto"/>
              <w:left w:val="nil"/>
              <w:bottom w:val="single" w:sz="8" w:space="0" w:color="auto"/>
              <w:right w:val="nil"/>
            </w:tcBorders>
            <w:shd w:val="clear" w:color="000000" w:fill="D9D9D9"/>
            <w:noWrap/>
            <w:vAlign w:val="center"/>
            <w:hideMark/>
          </w:tcPr>
          <w:p w14:paraId="6394EF5B" w14:textId="77777777" w:rsidR="00A16AD9" w:rsidRPr="005732FC" w:rsidRDefault="00A16AD9"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819,990,738.29</w:t>
            </w:r>
          </w:p>
        </w:tc>
        <w:tc>
          <w:tcPr>
            <w:tcW w:w="2268" w:type="dxa"/>
            <w:tcBorders>
              <w:top w:val="single" w:sz="8" w:space="0" w:color="auto"/>
              <w:left w:val="nil"/>
              <w:bottom w:val="single" w:sz="8" w:space="0" w:color="auto"/>
              <w:right w:val="nil"/>
            </w:tcBorders>
            <w:shd w:val="clear" w:color="000000" w:fill="D9D9D9"/>
            <w:noWrap/>
            <w:vAlign w:val="center"/>
            <w:hideMark/>
          </w:tcPr>
          <w:p w14:paraId="63AF5F2E" w14:textId="77777777" w:rsidR="00A16AD9" w:rsidRPr="005732FC" w:rsidRDefault="00A16AD9"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526,480,769.07</w:t>
            </w:r>
          </w:p>
        </w:tc>
      </w:tr>
    </w:tbl>
    <w:p w14:paraId="032D7829" w14:textId="77777777" w:rsidR="00A16AD9" w:rsidRPr="005732FC" w:rsidRDefault="00A16AD9" w:rsidP="00A16AD9">
      <w:pPr>
        <w:spacing w:after="0"/>
        <w:jc w:val="both"/>
        <w:rPr>
          <w:rFonts w:ascii="Arial" w:hAnsi="Arial" w:cs="Arial"/>
          <w:sz w:val="20"/>
          <w:szCs w:val="20"/>
        </w:rPr>
      </w:pPr>
    </w:p>
    <w:p w14:paraId="02676476" w14:textId="77777777" w:rsidR="00A16AD9" w:rsidRPr="005732FC" w:rsidRDefault="00A16AD9" w:rsidP="00A16AD9">
      <w:pPr>
        <w:spacing w:after="0"/>
        <w:jc w:val="both"/>
        <w:rPr>
          <w:rFonts w:ascii="Arial" w:hAnsi="Arial" w:cs="Arial"/>
          <w:sz w:val="20"/>
          <w:szCs w:val="20"/>
        </w:rPr>
      </w:pPr>
      <w:r w:rsidRPr="005732FC">
        <w:rPr>
          <w:rFonts w:ascii="Arial" w:hAnsi="Arial" w:cs="Arial"/>
          <w:sz w:val="20"/>
          <w:szCs w:val="20"/>
        </w:rPr>
        <w:lastRenderedPageBreak/>
        <w:t>Dichas inversiones son derivadas principalmente de los instrumentos jurídicos: 1.“Contrato de Fideicomiso de Administración y Medio de Pago Número F/4109047” celebrado en fecha 15 de octubre de 2019 entre el Municipio de Benito Juárez, Estado de Quintana Roo, en calidad de Fideicomitente y, por otra parte, BBVA BANCOMER, S.A., Institución de Banca Múltiple, Grupo Financiero BBVA BANCOMER, y en el que se establece como garantía de pago dos fondos de reserva que deberán contar con recursos en todo momento durante la vigencia de los créditos equivalentes a cuando menos el pago de 2 (Dos) meses del servicio de la deuda, incluida la amortización del capital y los intereses sobre el saldo insoluto, mismos que podrán ser instrumentos de inversión en tanto el tipo de inversión lo permita, el Fiduciario realizará las inversión en Instituciones integrantes del Grupo Financiero BBVA Bancomer, S. A. de C. V. en instrumentos gubernamentales de renta fija que no permitan minusvalías del Patrimonio Fideicomitido invertido, según lo establecen las cláusulas del contrato; y 2.Fideicomiso F/410695-1 de BBVA Bancomer, S. A., el cual fue creado mediante acuerdo 18-21/075 emitido en la novena sesión ordinaria del Ayuntamiento del Municipio de Benito Juárez (Fideicomitente y Fideicomisario en Primer Lugar), del Estado de Quintana Roo, de fecha 24 de enero de 2019, en su quinto punto del orden del día y cuya finalidad es administrar el total de los recursos públicos provenientes del pago del derecho de saneamiento ambiental.</w:t>
      </w:r>
    </w:p>
    <w:p w14:paraId="5385B2BF" w14:textId="77777777" w:rsidR="00A16AD9" w:rsidRPr="005732FC" w:rsidRDefault="00A16AD9" w:rsidP="00A16AD9">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4C7AD2B" w14:textId="68F80B30" w:rsidR="00BA3347" w:rsidRPr="005732FC" w:rsidRDefault="00A16AD9" w:rsidP="00461284">
      <w:pPr>
        <w:spacing w:after="0"/>
        <w:jc w:val="both"/>
        <w:rPr>
          <w:rFonts w:ascii="Arial" w:hAnsi="Arial" w:cs="Arial"/>
          <w:sz w:val="20"/>
          <w:szCs w:val="20"/>
        </w:rPr>
      </w:pPr>
      <w:r w:rsidRPr="005732FC">
        <w:rPr>
          <w:rFonts w:ascii="Arial" w:hAnsi="Arial" w:cs="Arial"/>
          <w:sz w:val="20"/>
          <w:szCs w:val="20"/>
        </w:rPr>
        <w:t xml:space="preserve">Respecto al  “Contrato de Fideicomiso de Administración Número F/4124053”, celebrado en fecha 15 de julio de 2021 entre el Municipio de Benito Juárez, Estado de Quintana Roo, en calidad de Fideicomitente y, por otra parte, BBVA México, S.A., Institución de Banca Múltiple, Grupo Financiero BBVA México, y en el que se establece en el inciso d) de la cláusula tercera del contrato, señala que el patrimonio del fideicomiso invertido se integrará con el importe de los productos que se deriven de la inversión y en su caso de la reinversión de los recursos que integren el patrimonio de dicho fideicomiso; derivado de la variación en el plazo de vencimiento de las inversiones efectuadas en este fideicomiso, en el mes de febrero se traspasa su saldo de $ </w:t>
      </w:r>
      <w:r w:rsidRPr="005732FC">
        <w:rPr>
          <w:rFonts w:ascii="Arial" w:eastAsia="Times New Roman" w:hAnsi="Arial" w:cs="Arial"/>
          <w:color w:val="000000"/>
          <w:kern w:val="0"/>
          <w:sz w:val="20"/>
          <w:szCs w:val="20"/>
          <w:lang w:eastAsia="es-MX"/>
          <w14:ligatures w14:val="none"/>
        </w:rPr>
        <w:t>56,491,967.74 a la cuenta de Inversiones financieras de corto plazo.</w:t>
      </w:r>
      <w:r w:rsidRPr="005732FC">
        <w:rPr>
          <w:rFonts w:ascii="Arial" w:hAnsi="Arial" w:cs="Arial"/>
          <w:sz w:val="20"/>
          <w:szCs w:val="20"/>
        </w:rPr>
        <w:tab/>
      </w:r>
      <w:r w:rsidR="00AD5998"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p>
    <w:p w14:paraId="1B4B0C90" w14:textId="47422A01" w:rsidR="00BA3347" w:rsidRPr="005732FC" w:rsidRDefault="00BA3347" w:rsidP="005D2B3E">
      <w:pPr>
        <w:pStyle w:val="Ttulo2"/>
        <w:numPr>
          <w:ilvl w:val="1"/>
          <w:numId w:val="17"/>
        </w:numPr>
        <w:ind w:left="0" w:hanging="284"/>
        <w:rPr>
          <w:rFonts w:ascii="Arial" w:hAnsi="Arial" w:cs="Arial"/>
          <w:b/>
          <w:bCs/>
          <w:sz w:val="20"/>
          <w:szCs w:val="20"/>
        </w:rPr>
      </w:pPr>
      <w:r w:rsidRPr="005732FC">
        <w:rPr>
          <w:rFonts w:ascii="Arial" w:hAnsi="Arial" w:cs="Arial"/>
          <w:b/>
          <w:bCs/>
          <w:color w:val="auto"/>
          <w:sz w:val="20"/>
          <w:szCs w:val="20"/>
        </w:rPr>
        <w:t xml:space="preserve">Derechos a recibir Efectivo y Equivalentes </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292D9DCC"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FC168DA" w14:textId="0B9AA287" w:rsidR="001C20A8" w:rsidRPr="005732FC" w:rsidRDefault="00461284" w:rsidP="001C20A8">
      <w:pPr>
        <w:spacing w:after="0"/>
        <w:jc w:val="both"/>
        <w:rPr>
          <w:rFonts w:ascii="Arial" w:hAnsi="Arial" w:cs="Arial"/>
          <w:sz w:val="20"/>
          <w:szCs w:val="20"/>
        </w:rPr>
      </w:pPr>
      <w:bookmarkStart w:id="10" w:name="_Hlk175668183"/>
      <w:r w:rsidRPr="005732FC">
        <w:rPr>
          <w:rFonts w:ascii="Arial" w:hAnsi="Arial" w:cs="Arial"/>
          <w:sz w:val="20"/>
          <w:szCs w:val="20"/>
        </w:rPr>
        <w:t>La cuenta de derechos a recibir efectivo y equivalentes se integra al 30 de junio del 2025, como sigue:</w:t>
      </w:r>
    </w:p>
    <w:p w14:paraId="4659DE9F" w14:textId="77777777" w:rsidR="00461284" w:rsidRPr="005732FC" w:rsidRDefault="00461284" w:rsidP="001C20A8">
      <w:pPr>
        <w:spacing w:after="0"/>
        <w:jc w:val="both"/>
        <w:rPr>
          <w:rFonts w:ascii="Arial" w:hAnsi="Arial" w:cs="Arial"/>
          <w:sz w:val="20"/>
          <w:szCs w:val="20"/>
        </w:rPr>
      </w:pPr>
    </w:p>
    <w:tbl>
      <w:tblPr>
        <w:tblW w:w="9781" w:type="dxa"/>
        <w:tblCellMar>
          <w:left w:w="70" w:type="dxa"/>
          <w:right w:w="70" w:type="dxa"/>
        </w:tblCellMar>
        <w:tblLook w:val="04A0" w:firstRow="1" w:lastRow="0" w:firstColumn="1" w:lastColumn="0" w:noHBand="0" w:noVBand="1"/>
      </w:tblPr>
      <w:tblGrid>
        <w:gridCol w:w="5320"/>
        <w:gridCol w:w="2193"/>
        <w:gridCol w:w="2268"/>
      </w:tblGrid>
      <w:tr w:rsidR="00461284" w:rsidRPr="005732FC" w14:paraId="01C29FD2" w14:textId="77777777" w:rsidTr="0014577C">
        <w:trPr>
          <w:trHeight w:val="270"/>
        </w:trPr>
        <w:tc>
          <w:tcPr>
            <w:tcW w:w="5320" w:type="dxa"/>
            <w:tcBorders>
              <w:top w:val="single" w:sz="8" w:space="0" w:color="auto"/>
              <w:left w:val="nil"/>
              <w:bottom w:val="single" w:sz="8" w:space="0" w:color="auto"/>
              <w:right w:val="nil"/>
            </w:tcBorders>
            <w:shd w:val="clear" w:color="000000" w:fill="D9D9D9"/>
            <w:noWrap/>
            <w:vAlign w:val="center"/>
            <w:hideMark/>
          </w:tcPr>
          <w:bookmarkEnd w:id="10"/>
          <w:p w14:paraId="08C17B3C" w14:textId="77777777" w:rsidR="00461284" w:rsidRPr="005732FC" w:rsidRDefault="00461284" w:rsidP="0014577C">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193" w:type="dxa"/>
            <w:tcBorders>
              <w:top w:val="single" w:sz="8" w:space="0" w:color="auto"/>
              <w:left w:val="nil"/>
              <w:bottom w:val="single" w:sz="8" w:space="0" w:color="auto"/>
              <w:right w:val="nil"/>
            </w:tcBorders>
            <w:shd w:val="clear" w:color="000000" w:fill="D9D9D9"/>
            <w:vAlign w:val="center"/>
            <w:hideMark/>
          </w:tcPr>
          <w:p w14:paraId="01A15ACF"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2625588B"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461284" w:rsidRPr="005732FC" w14:paraId="63F61330" w14:textId="77777777" w:rsidTr="0014577C">
        <w:trPr>
          <w:trHeight w:val="255"/>
        </w:trPr>
        <w:tc>
          <w:tcPr>
            <w:tcW w:w="5320" w:type="dxa"/>
            <w:tcBorders>
              <w:top w:val="nil"/>
              <w:left w:val="nil"/>
              <w:bottom w:val="nil"/>
              <w:right w:val="nil"/>
            </w:tcBorders>
            <w:shd w:val="clear" w:color="auto" w:fill="auto"/>
            <w:noWrap/>
            <w:vAlign w:val="center"/>
            <w:hideMark/>
          </w:tcPr>
          <w:p w14:paraId="2279F9AB"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Inversiones Financieras de corto plazo</w:t>
            </w:r>
          </w:p>
        </w:tc>
        <w:tc>
          <w:tcPr>
            <w:tcW w:w="2193" w:type="dxa"/>
            <w:tcBorders>
              <w:top w:val="nil"/>
              <w:left w:val="nil"/>
              <w:bottom w:val="nil"/>
              <w:right w:val="nil"/>
            </w:tcBorders>
            <w:shd w:val="clear" w:color="auto" w:fill="auto"/>
            <w:noWrap/>
            <w:vAlign w:val="center"/>
            <w:hideMark/>
          </w:tcPr>
          <w:p w14:paraId="3C6BE410"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75,206,624.30</w:t>
            </w:r>
          </w:p>
        </w:tc>
        <w:tc>
          <w:tcPr>
            <w:tcW w:w="2268" w:type="dxa"/>
            <w:tcBorders>
              <w:top w:val="nil"/>
              <w:left w:val="nil"/>
              <w:bottom w:val="nil"/>
              <w:right w:val="nil"/>
            </w:tcBorders>
            <w:shd w:val="clear" w:color="auto" w:fill="auto"/>
            <w:noWrap/>
            <w:vAlign w:val="center"/>
            <w:hideMark/>
          </w:tcPr>
          <w:p w14:paraId="1218FEDD"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499,991.76</w:t>
            </w:r>
          </w:p>
        </w:tc>
      </w:tr>
      <w:tr w:rsidR="00461284" w:rsidRPr="005732FC" w14:paraId="4D59D863" w14:textId="77777777" w:rsidTr="0014577C">
        <w:trPr>
          <w:trHeight w:val="255"/>
        </w:trPr>
        <w:tc>
          <w:tcPr>
            <w:tcW w:w="5320" w:type="dxa"/>
            <w:tcBorders>
              <w:top w:val="nil"/>
              <w:left w:val="nil"/>
              <w:bottom w:val="nil"/>
              <w:right w:val="nil"/>
            </w:tcBorders>
            <w:shd w:val="clear" w:color="auto" w:fill="auto"/>
            <w:noWrap/>
            <w:vAlign w:val="center"/>
            <w:hideMark/>
          </w:tcPr>
          <w:p w14:paraId="724B0D66"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Cuentas Por Cobrar a Corto Plazo </w:t>
            </w:r>
          </w:p>
        </w:tc>
        <w:tc>
          <w:tcPr>
            <w:tcW w:w="2193" w:type="dxa"/>
            <w:tcBorders>
              <w:top w:val="nil"/>
              <w:left w:val="nil"/>
              <w:bottom w:val="nil"/>
              <w:right w:val="nil"/>
            </w:tcBorders>
            <w:shd w:val="clear" w:color="auto" w:fill="auto"/>
            <w:noWrap/>
            <w:vAlign w:val="center"/>
            <w:hideMark/>
          </w:tcPr>
          <w:p w14:paraId="444DF0A6"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71,281,361.75</w:t>
            </w:r>
          </w:p>
        </w:tc>
        <w:tc>
          <w:tcPr>
            <w:tcW w:w="2268" w:type="dxa"/>
            <w:tcBorders>
              <w:top w:val="nil"/>
              <w:left w:val="nil"/>
              <w:bottom w:val="nil"/>
              <w:right w:val="nil"/>
            </w:tcBorders>
            <w:shd w:val="clear" w:color="auto" w:fill="auto"/>
            <w:noWrap/>
            <w:vAlign w:val="center"/>
            <w:hideMark/>
          </w:tcPr>
          <w:p w14:paraId="7D15EE09"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72,383,631.30</w:t>
            </w:r>
          </w:p>
        </w:tc>
      </w:tr>
      <w:tr w:rsidR="00461284" w:rsidRPr="005732FC" w14:paraId="081D1CCD" w14:textId="77777777" w:rsidTr="0014577C">
        <w:trPr>
          <w:trHeight w:val="255"/>
        </w:trPr>
        <w:tc>
          <w:tcPr>
            <w:tcW w:w="5320" w:type="dxa"/>
            <w:tcBorders>
              <w:top w:val="nil"/>
              <w:left w:val="nil"/>
              <w:bottom w:val="nil"/>
              <w:right w:val="nil"/>
            </w:tcBorders>
            <w:shd w:val="clear" w:color="auto" w:fill="auto"/>
            <w:noWrap/>
            <w:vAlign w:val="center"/>
            <w:hideMark/>
          </w:tcPr>
          <w:p w14:paraId="0ACF3764"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Deudores Diversos Por Cobrar a Corto Plazo</w:t>
            </w:r>
          </w:p>
        </w:tc>
        <w:tc>
          <w:tcPr>
            <w:tcW w:w="2193" w:type="dxa"/>
            <w:tcBorders>
              <w:top w:val="nil"/>
              <w:left w:val="nil"/>
              <w:bottom w:val="nil"/>
              <w:right w:val="nil"/>
            </w:tcBorders>
            <w:shd w:val="clear" w:color="auto" w:fill="auto"/>
            <w:noWrap/>
            <w:vAlign w:val="center"/>
            <w:hideMark/>
          </w:tcPr>
          <w:p w14:paraId="4A8CC09C"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54,109,966.27</w:t>
            </w:r>
          </w:p>
        </w:tc>
        <w:tc>
          <w:tcPr>
            <w:tcW w:w="2268" w:type="dxa"/>
            <w:tcBorders>
              <w:top w:val="nil"/>
              <w:left w:val="nil"/>
              <w:bottom w:val="nil"/>
              <w:right w:val="nil"/>
            </w:tcBorders>
            <w:shd w:val="clear" w:color="auto" w:fill="auto"/>
            <w:noWrap/>
            <w:vAlign w:val="center"/>
            <w:hideMark/>
          </w:tcPr>
          <w:p w14:paraId="14C5ECE0"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53,308,694.57</w:t>
            </w:r>
          </w:p>
        </w:tc>
      </w:tr>
      <w:tr w:rsidR="00461284" w:rsidRPr="005732FC" w14:paraId="0BF38350" w14:textId="77777777" w:rsidTr="0014577C">
        <w:trPr>
          <w:trHeight w:val="255"/>
        </w:trPr>
        <w:tc>
          <w:tcPr>
            <w:tcW w:w="5320" w:type="dxa"/>
            <w:tcBorders>
              <w:top w:val="nil"/>
              <w:left w:val="nil"/>
              <w:bottom w:val="nil"/>
              <w:right w:val="nil"/>
            </w:tcBorders>
            <w:shd w:val="clear" w:color="auto" w:fill="auto"/>
            <w:noWrap/>
            <w:vAlign w:val="center"/>
            <w:hideMark/>
          </w:tcPr>
          <w:p w14:paraId="5FE6ACA1"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Ingresos por Recuperar a Corto Plazo </w:t>
            </w:r>
          </w:p>
        </w:tc>
        <w:tc>
          <w:tcPr>
            <w:tcW w:w="2193" w:type="dxa"/>
            <w:tcBorders>
              <w:top w:val="nil"/>
              <w:left w:val="nil"/>
              <w:bottom w:val="nil"/>
              <w:right w:val="nil"/>
            </w:tcBorders>
            <w:shd w:val="clear" w:color="auto" w:fill="auto"/>
            <w:noWrap/>
            <w:vAlign w:val="center"/>
            <w:hideMark/>
          </w:tcPr>
          <w:p w14:paraId="2F797342" w14:textId="52301F9F"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14,149,493.1</w:t>
            </w:r>
            <w:r w:rsidR="003613C0" w:rsidRPr="005732FC">
              <w:rPr>
                <w:rFonts w:ascii="Arial" w:eastAsia="Times New Roman" w:hAnsi="Arial" w:cs="Arial"/>
                <w:color w:val="000000"/>
                <w:kern w:val="0"/>
                <w:sz w:val="20"/>
                <w:szCs w:val="20"/>
                <w:lang w:eastAsia="es-MX"/>
                <w14:ligatures w14:val="none"/>
              </w:rPr>
              <w:t>1</w:t>
            </w:r>
          </w:p>
        </w:tc>
        <w:tc>
          <w:tcPr>
            <w:tcW w:w="2268" w:type="dxa"/>
            <w:tcBorders>
              <w:top w:val="nil"/>
              <w:left w:val="nil"/>
              <w:bottom w:val="nil"/>
              <w:right w:val="nil"/>
            </w:tcBorders>
            <w:shd w:val="clear" w:color="auto" w:fill="auto"/>
            <w:noWrap/>
            <w:vAlign w:val="center"/>
            <w:hideMark/>
          </w:tcPr>
          <w:p w14:paraId="61476B7D"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29,603,617.64</w:t>
            </w:r>
          </w:p>
        </w:tc>
      </w:tr>
      <w:tr w:rsidR="00461284" w:rsidRPr="005732FC" w14:paraId="3225101E" w14:textId="77777777" w:rsidTr="0014577C">
        <w:trPr>
          <w:trHeight w:val="255"/>
        </w:trPr>
        <w:tc>
          <w:tcPr>
            <w:tcW w:w="5320" w:type="dxa"/>
            <w:tcBorders>
              <w:top w:val="nil"/>
              <w:left w:val="nil"/>
              <w:bottom w:val="nil"/>
              <w:right w:val="nil"/>
            </w:tcBorders>
            <w:shd w:val="clear" w:color="auto" w:fill="auto"/>
            <w:noWrap/>
            <w:vAlign w:val="center"/>
            <w:hideMark/>
          </w:tcPr>
          <w:p w14:paraId="180152EE"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Deudores Por Anticipos de la Tesorería a Corto Plazo </w:t>
            </w:r>
          </w:p>
        </w:tc>
        <w:tc>
          <w:tcPr>
            <w:tcW w:w="2193" w:type="dxa"/>
            <w:tcBorders>
              <w:top w:val="nil"/>
              <w:left w:val="nil"/>
              <w:bottom w:val="nil"/>
              <w:right w:val="nil"/>
            </w:tcBorders>
            <w:shd w:val="clear" w:color="auto" w:fill="auto"/>
            <w:noWrap/>
            <w:vAlign w:val="center"/>
            <w:hideMark/>
          </w:tcPr>
          <w:p w14:paraId="05D73727"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327,139.18</w:t>
            </w:r>
          </w:p>
        </w:tc>
        <w:tc>
          <w:tcPr>
            <w:tcW w:w="2268" w:type="dxa"/>
            <w:tcBorders>
              <w:top w:val="nil"/>
              <w:left w:val="nil"/>
              <w:bottom w:val="nil"/>
              <w:right w:val="nil"/>
            </w:tcBorders>
            <w:shd w:val="clear" w:color="auto" w:fill="auto"/>
            <w:noWrap/>
            <w:vAlign w:val="center"/>
            <w:hideMark/>
          </w:tcPr>
          <w:p w14:paraId="2C6B799C"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236,989.75</w:t>
            </w:r>
          </w:p>
        </w:tc>
      </w:tr>
      <w:tr w:rsidR="00461284" w:rsidRPr="005732FC" w14:paraId="276D4E0A" w14:textId="77777777" w:rsidTr="0014577C">
        <w:trPr>
          <w:trHeight w:val="525"/>
        </w:trPr>
        <w:tc>
          <w:tcPr>
            <w:tcW w:w="5320" w:type="dxa"/>
            <w:tcBorders>
              <w:top w:val="nil"/>
              <w:left w:val="nil"/>
              <w:bottom w:val="single" w:sz="8" w:space="0" w:color="000000"/>
              <w:right w:val="nil"/>
            </w:tcBorders>
            <w:shd w:val="clear" w:color="auto" w:fill="auto"/>
            <w:vAlign w:val="center"/>
            <w:hideMark/>
          </w:tcPr>
          <w:p w14:paraId="52E81C73"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Otros Derechos a Recibir Efectivo o Equivalentes a Corto Plazo</w:t>
            </w:r>
          </w:p>
        </w:tc>
        <w:tc>
          <w:tcPr>
            <w:tcW w:w="2193" w:type="dxa"/>
            <w:tcBorders>
              <w:top w:val="nil"/>
              <w:left w:val="nil"/>
              <w:bottom w:val="single" w:sz="8" w:space="0" w:color="000000"/>
              <w:right w:val="nil"/>
            </w:tcBorders>
            <w:shd w:val="clear" w:color="auto" w:fill="auto"/>
            <w:noWrap/>
            <w:vAlign w:val="center"/>
            <w:hideMark/>
          </w:tcPr>
          <w:p w14:paraId="2D98418B"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86,805,198.46</w:t>
            </w:r>
          </w:p>
        </w:tc>
        <w:tc>
          <w:tcPr>
            <w:tcW w:w="2268" w:type="dxa"/>
            <w:tcBorders>
              <w:top w:val="nil"/>
              <w:left w:val="nil"/>
              <w:bottom w:val="single" w:sz="8" w:space="0" w:color="000000"/>
              <w:right w:val="nil"/>
            </w:tcBorders>
            <w:shd w:val="clear" w:color="auto" w:fill="auto"/>
            <w:noWrap/>
            <w:vAlign w:val="center"/>
            <w:hideMark/>
          </w:tcPr>
          <w:p w14:paraId="45173C33"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86,805,198.46</w:t>
            </w:r>
          </w:p>
        </w:tc>
      </w:tr>
      <w:tr w:rsidR="00461284" w:rsidRPr="005732FC" w14:paraId="59031085" w14:textId="77777777" w:rsidTr="0014577C">
        <w:trPr>
          <w:trHeight w:val="270"/>
        </w:trPr>
        <w:tc>
          <w:tcPr>
            <w:tcW w:w="5320" w:type="dxa"/>
            <w:tcBorders>
              <w:top w:val="nil"/>
              <w:left w:val="nil"/>
              <w:bottom w:val="single" w:sz="8" w:space="0" w:color="000000"/>
              <w:right w:val="nil"/>
            </w:tcBorders>
            <w:shd w:val="clear" w:color="000000" w:fill="D9D9D9"/>
            <w:noWrap/>
            <w:vAlign w:val="center"/>
            <w:hideMark/>
          </w:tcPr>
          <w:p w14:paraId="2757A37C" w14:textId="77777777" w:rsidR="00461284" w:rsidRPr="005732FC" w:rsidRDefault="00461284" w:rsidP="0014577C">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2193" w:type="dxa"/>
            <w:tcBorders>
              <w:top w:val="nil"/>
              <w:left w:val="nil"/>
              <w:bottom w:val="single" w:sz="8" w:space="0" w:color="000000"/>
              <w:right w:val="nil"/>
            </w:tcBorders>
            <w:shd w:val="clear" w:color="000000" w:fill="D9D9D9"/>
            <w:noWrap/>
            <w:vAlign w:val="center"/>
            <w:hideMark/>
          </w:tcPr>
          <w:p w14:paraId="68279B52" w14:textId="6608212D"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301,879,783.0</w:t>
            </w:r>
            <w:r w:rsidR="00530AB2">
              <w:rPr>
                <w:rFonts w:ascii="Arial" w:eastAsia="Times New Roman" w:hAnsi="Arial" w:cs="Arial"/>
                <w:b/>
                <w:bCs/>
                <w:color w:val="000000"/>
                <w:kern w:val="0"/>
                <w:sz w:val="20"/>
                <w:szCs w:val="20"/>
                <w:lang w:eastAsia="es-MX"/>
                <w14:ligatures w14:val="none"/>
              </w:rPr>
              <w:t>7</w:t>
            </w:r>
          </w:p>
        </w:tc>
        <w:tc>
          <w:tcPr>
            <w:tcW w:w="2268" w:type="dxa"/>
            <w:tcBorders>
              <w:top w:val="nil"/>
              <w:left w:val="nil"/>
              <w:bottom w:val="single" w:sz="8" w:space="0" w:color="000000"/>
              <w:right w:val="nil"/>
            </w:tcBorders>
            <w:shd w:val="clear" w:color="000000" w:fill="D9D9D9"/>
            <w:noWrap/>
            <w:vAlign w:val="center"/>
            <w:hideMark/>
          </w:tcPr>
          <w:p w14:paraId="527E795F"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242,838,123.48</w:t>
            </w:r>
          </w:p>
        </w:tc>
      </w:tr>
    </w:tbl>
    <w:p w14:paraId="5BD64BAF" w14:textId="5F6A70C4" w:rsidR="00BA3347" w:rsidRPr="005732FC" w:rsidRDefault="006B063F" w:rsidP="005D2B3E">
      <w:pPr>
        <w:spacing w:after="0"/>
        <w:jc w:val="both"/>
        <w:rPr>
          <w:rFonts w:ascii="Arial" w:hAnsi="Arial" w:cs="Arial"/>
          <w:sz w:val="20"/>
          <w:szCs w:val="20"/>
        </w:rPr>
      </w:pPr>
      <w:r w:rsidRPr="005732FC">
        <w:rPr>
          <w:rFonts w:ascii="Arial" w:hAnsi="Arial" w:cs="Arial"/>
          <w:sz w:val="20"/>
          <w:szCs w:val="20"/>
        </w:rPr>
        <w:tab/>
      </w:r>
    </w:p>
    <w:p w14:paraId="36D1F797" w14:textId="77777777" w:rsidR="00B71847" w:rsidRPr="005732FC" w:rsidRDefault="00B71847" w:rsidP="00B71847">
      <w:pPr>
        <w:spacing w:after="0"/>
        <w:jc w:val="both"/>
        <w:rPr>
          <w:rFonts w:ascii="Arial" w:hAnsi="Arial" w:cs="Arial"/>
          <w:sz w:val="20"/>
          <w:szCs w:val="20"/>
        </w:rPr>
      </w:pPr>
      <w:r w:rsidRPr="005732FC">
        <w:rPr>
          <w:rFonts w:ascii="Arial" w:hAnsi="Arial" w:cs="Arial"/>
          <w:sz w:val="20"/>
          <w:szCs w:val="20"/>
        </w:rPr>
        <w:t>La cuenta de inversiones financieras de corto plazo representa el monto de los recursos excedentes del ente público, invertidos en títulos, valores y demás instrumentos financieros, cuya recuperación se efectuará en un plazo menor o igual a doce meses. Su saldo proviene de las inversiones efectuadas en la cuenta bancaria del Fideicomiso de Administración Número F/4124053”, celebrado con la institución BBVA México, S.A., Institución de Banca Múltiple, Grupo Financiero BBVA México y de la cuenta bancaria 0144 con la misma institución.</w:t>
      </w:r>
    </w:p>
    <w:p w14:paraId="67BF342E" w14:textId="77777777" w:rsidR="00866CE5" w:rsidRPr="005732FC" w:rsidRDefault="00866CE5" w:rsidP="005D2B3E">
      <w:pPr>
        <w:spacing w:after="0"/>
        <w:jc w:val="both"/>
        <w:rPr>
          <w:rFonts w:ascii="Arial" w:hAnsi="Arial" w:cs="Arial"/>
          <w:sz w:val="20"/>
          <w:szCs w:val="20"/>
        </w:rPr>
      </w:pPr>
    </w:p>
    <w:p w14:paraId="47225051" w14:textId="2A422A89" w:rsidR="00BA3347" w:rsidRPr="005732FC" w:rsidRDefault="00BA3347" w:rsidP="005D2B3E">
      <w:pPr>
        <w:pStyle w:val="Ttulo2"/>
        <w:numPr>
          <w:ilvl w:val="1"/>
          <w:numId w:val="17"/>
        </w:numPr>
        <w:ind w:left="0" w:hanging="284"/>
        <w:rPr>
          <w:rFonts w:ascii="Arial" w:hAnsi="Arial" w:cs="Arial"/>
          <w:b/>
          <w:bCs/>
          <w:sz w:val="20"/>
          <w:szCs w:val="20"/>
        </w:rPr>
      </w:pPr>
      <w:r w:rsidRPr="005732FC">
        <w:rPr>
          <w:rFonts w:ascii="Arial" w:hAnsi="Arial" w:cs="Arial"/>
          <w:b/>
          <w:bCs/>
          <w:color w:val="auto"/>
          <w:sz w:val="20"/>
          <w:szCs w:val="20"/>
        </w:rPr>
        <w:t>Derechos a Recibir Bienes o Servicios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0A7001CE"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FA91B1B" w14:textId="77777777" w:rsidR="008975F0" w:rsidRDefault="00713523" w:rsidP="00713523">
      <w:pPr>
        <w:spacing w:after="0"/>
        <w:jc w:val="both"/>
        <w:rPr>
          <w:rFonts w:ascii="Arial" w:hAnsi="Arial" w:cs="Arial"/>
          <w:sz w:val="20"/>
          <w:szCs w:val="20"/>
        </w:rPr>
      </w:pPr>
      <w:r w:rsidRPr="005732FC">
        <w:rPr>
          <w:rFonts w:ascii="Arial" w:hAnsi="Arial" w:cs="Arial"/>
          <w:sz w:val="20"/>
          <w:szCs w:val="20"/>
        </w:rPr>
        <w:t>El saldo del rubro de Derechos a recibir bienes y servicios a corto plazo se integra por recursos otorgados a proveedores de bienes y prestación de servicios, así como a contratistas de obras públicas, que al 30 de junio del 2025 se agrupan como sigue:</w:t>
      </w:r>
      <w:r w:rsidRPr="005732FC">
        <w:rPr>
          <w:rFonts w:ascii="Arial" w:hAnsi="Arial" w:cs="Arial"/>
          <w:sz w:val="20"/>
          <w:szCs w:val="20"/>
        </w:rPr>
        <w:tab/>
      </w:r>
    </w:p>
    <w:p w14:paraId="2F299187" w14:textId="77777777" w:rsidR="008975F0" w:rsidRDefault="008975F0" w:rsidP="00713523">
      <w:pPr>
        <w:spacing w:after="0"/>
        <w:jc w:val="both"/>
        <w:rPr>
          <w:rFonts w:ascii="Arial" w:hAnsi="Arial" w:cs="Arial"/>
          <w:sz w:val="20"/>
          <w:szCs w:val="20"/>
        </w:rPr>
      </w:pPr>
    </w:p>
    <w:tbl>
      <w:tblPr>
        <w:tblW w:w="9781" w:type="dxa"/>
        <w:tblCellMar>
          <w:left w:w="70" w:type="dxa"/>
          <w:right w:w="70" w:type="dxa"/>
        </w:tblCellMar>
        <w:tblLook w:val="04A0" w:firstRow="1" w:lastRow="0" w:firstColumn="1" w:lastColumn="0" w:noHBand="0" w:noVBand="1"/>
      </w:tblPr>
      <w:tblGrid>
        <w:gridCol w:w="1820"/>
        <w:gridCol w:w="1600"/>
        <w:gridCol w:w="1740"/>
        <w:gridCol w:w="2353"/>
        <w:gridCol w:w="2268"/>
      </w:tblGrid>
      <w:tr w:rsidR="008975F0" w:rsidRPr="005732FC" w14:paraId="0C3BBFF3" w14:textId="77777777" w:rsidTr="008975F0">
        <w:trPr>
          <w:trHeight w:val="20"/>
          <w:tblHeader/>
        </w:trPr>
        <w:tc>
          <w:tcPr>
            <w:tcW w:w="5160" w:type="dxa"/>
            <w:gridSpan w:val="3"/>
            <w:tcBorders>
              <w:top w:val="single" w:sz="8" w:space="0" w:color="auto"/>
              <w:left w:val="nil"/>
              <w:bottom w:val="single" w:sz="8" w:space="0" w:color="auto"/>
              <w:right w:val="nil"/>
            </w:tcBorders>
            <w:shd w:val="clear" w:color="000000" w:fill="D9D9D9"/>
            <w:noWrap/>
            <w:vAlign w:val="center"/>
            <w:hideMark/>
          </w:tcPr>
          <w:p w14:paraId="68C0C002" w14:textId="77777777" w:rsidR="008975F0" w:rsidRPr="005732FC" w:rsidRDefault="008975F0" w:rsidP="00964384">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lastRenderedPageBreak/>
              <w:t>Concepto </w:t>
            </w:r>
          </w:p>
        </w:tc>
        <w:tc>
          <w:tcPr>
            <w:tcW w:w="2353" w:type="dxa"/>
            <w:tcBorders>
              <w:top w:val="single" w:sz="8" w:space="0" w:color="auto"/>
              <w:left w:val="nil"/>
              <w:bottom w:val="single" w:sz="8" w:space="0" w:color="auto"/>
              <w:right w:val="nil"/>
            </w:tcBorders>
            <w:shd w:val="clear" w:color="000000" w:fill="D9D9D9"/>
            <w:vAlign w:val="center"/>
            <w:hideMark/>
          </w:tcPr>
          <w:p w14:paraId="4592F002" w14:textId="77777777" w:rsidR="008975F0" w:rsidRPr="005732FC" w:rsidRDefault="008975F0" w:rsidP="00964384">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310E4A0E" w14:textId="77777777" w:rsidR="008975F0" w:rsidRPr="005732FC" w:rsidRDefault="008975F0" w:rsidP="00964384">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8975F0" w:rsidRPr="005732FC" w14:paraId="3C0FCFD0" w14:textId="77777777" w:rsidTr="00964384">
        <w:trPr>
          <w:trHeight w:val="20"/>
        </w:trPr>
        <w:tc>
          <w:tcPr>
            <w:tcW w:w="5160" w:type="dxa"/>
            <w:gridSpan w:val="3"/>
            <w:tcBorders>
              <w:top w:val="single" w:sz="8" w:space="0" w:color="auto"/>
              <w:left w:val="nil"/>
              <w:bottom w:val="nil"/>
              <w:right w:val="nil"/>
            </w:tcBorders>
            <w:shd w:val="clear" w:color="auto" w:fill="auto"/>
            <w:vAlign w:val="center"/>
            <w:hideMark/>
          </w:tcPr>
          <w:p w14:paraId="6B3F7DFA" w14:textId="77777777" w:rsidR="008975F0" w:rsidRPr="005732FC" w:rsidRDefault="008975F0" w:rsidP="00964384">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Anticipo a proveedores por adquisición de bienes y prestación de servicios a corto plazo</w:t>
            </w:r>
          </w:p>
        </w:tc>
        <w:tc>
          <w:tcPr>
            <w:tcW w:w="2353" w:type="dxa"/>
            <w:tcBorders>
              <w:top w:val="nil"/>
              <w:left w:val="nil"/>
              <w:bottom w:val="nil"/>
              <w:right w:val="nil"/>
            </w:tcBorders>
            <w:shd w:val="clear" w:color="auto" w:fill="auto"/>
            <w:noWrap/>
            <w:vAlign w:val="center"/>
            <w:hideMark/>
          </w:tcPr>
          <w:p w14:paraId="7DD0E291" w14:textId="77777777" w:rsidR="008975F0" w:rsidRPr="005732FC" w:rsidRDefault="008975F0" w:rsidP="00964384">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5,234,565.60</w:t>
            </w:r>
          </w:p>
        </w:tc>
        <w:tc>
          <w:tcPr>
            <w:tcW w:w="2268" w:type="dxa"/>
            <w:tcBorders>
              <w:top w:val="nil"/>
              <w:left w:val="nil"/>
              <w:bottom w:val="nil"/>
              <w:right w:val="nil"/>
            </w:tcBorders>
            <w:shd w:val="clear" w:color="auto" w:fill="auto"/>
            <w:noWrap/>
            <w:vAlign w:val="center"/>
            <w:hideMark/>
          </w:tcPr>
          <w:p w14:paraId="5190D387" w14:textId="77777777" w:rsidR="008975F0" w:rsidRPr="005732FC" w:rsidRDefault="008975F0" w:rsidP="00964384">
            <w:pPr>
              <w:spacing w:after="0" w:line="240" w:lineRule="auto"/>
              <w:ind w:left="64"/>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5,234,565.60</w:t>
            </w:r>
          </w:p>
        </w:tc>
      </w:tr>
      <w:tr w:rsidR="008975F0" w:rsidRPr="005732FC" w14:paraId="7E24685B" w14:textId="77777777" w:rsidTr="00964384">
        <w:trPr>
          <w:trHeight w:val="20"/>
        </w:trPr>
        <w:tc>
          <w:tcPr>
            <w:tcW w:w="5160" w:type="dxa"/>
            <w:gridSpan w:val="3"/>
            <w:tcBorders>
              <w:top w:val="nil"/>
              <w:left w:val="nil"/>
              <w:bottom w:val="single" w:sz="8" w:space="0" w:color="auto"/>
              <w:right w:val="nil"/>
            </w:tcBorders>
            <w:shd w:val="clear" w:color="auto" w:fill="auto"/>
            <w:vAlign w:val="center"/>
            <w:hideMark/>
          </w:tcPr>
          <w:p w14:paraId="45A43C5F" w14:textId="77777777" w:rsidR="008975F0" w:rsidRPr="005732FC" w:rsidRDefault="008975F0" w:rsidP="00964384">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Anticipo a contratistas por Obras Públicas a Corto Plazo</w:t>
            </w:r>
          </w:p>
        </w:tc>
        <w:tc>
          <w:tcPr>
            <w:tcW w:w="2353" w:type="dxa"/>
            <w:tcBorders>
              <w:top w:val="nil"/>
              <w:left w:val="nil"/>
              <w:bottom w:val="single" w:sz="8" w:space="0" w:color="auto"/>
              <w:right w:val="nil"/>
            </w:tcBorders>
            <w:shd w:val="clear" w:color="auto" w:fill="auto"/>
            <w:noWrap/>
            <w:vAlign w:val="center"/>
            <w:hideMark/>
          </w:tcPr>
          <w:p w14:paraId="48ACF23C" w14:textId="77777777" w:rsidR="008975F0" w:rsidRPr="005732FC" w:rsidRDefault="008975F0" w:rsidP="00964384">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2,679,459.22</w:t>
            </w:r>
          </w:p>
        </w:tc>
        <w:tc>
          <w:tcPr>
            <w:tcW w:w="2268" w:type="dxa"/>
            <w:tcBorders>
              <w:top w:val="nil"/>
              <w:left w:val="nil"/>
              <w:bottom w:val="single" w:sz="8" w:space="0" w:color="auto"/>
              <w:right w:val="nil"/>
            </w:tcBorders>
            <w:shd w:val="clear" w:color="auto" w:fill="auto"/>
            <w:noWrap/>
            <w:vAlign w:val="center"/>
            <w:hideMark/>
          </w:tcPr>
          <w:p w14:paraId="2DD5CCF4" w14:textId="77777777" w:rsidR="008975F0" w:rsidRPr="005732FC" w:rsidRDefault="008975F0" w:rsidP="00964384">
            <w:pPr>
              <w:spacing w:after="0" w:line="240" w:lineRule="auto"/>
              <w:ind w:left="64"/>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2,679,459.22</w:t>
            </w:r>
          </w:p>
        </w:tc>
      </w:tr>
      <w:tr w:rsidR="008975F0" w:rsidRPr="005732FC" w14:paraId="45F95C2A" w14:textId="77777777" w:rsidTr="00964384">
        <w:trPr>
          <w:trHeight w:val="20"/>
        </w:trPr>
        <w:tc>
          <w:tcPr>
            <w:tcW w:w="1820" w:type="dxa"/>
            <w:tcBorders>
              <w:top w:val="nil"/>
              <w:left w:val="nil"/>
              <w:bottom w:val="single" w:sz="8" w:space="0" w:color="auto"/>
              <w:right w:val="nil"/>
            </w:tcBorders>
            <w:shd w:val="clear" w:color="000000" w:fill="D9D9D9"/>
            <w:noWrap/>
            <w:vAlign w:val="center"/>
            <w:hideMark/>
          </w:tcPr>
          <w:p w14:paraId="55C46258" w14:textId="77777777" w:rsidR="008975F0" w:rsidRPr="005732FC" w:rsidRDefault="008975F0" w:rsidP="00964384">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D9D9D9"/>
            <w:noWrap/>
            <w:vAlign w:val="center"/>
            <w:hideMark/>
          </w:tcPr>
          <w:p w14:paraId="69FDAA66" w14:textId="77777777" w:rsidR="008975F0" w:rsidRPr="005732FC" w:rsidRDefault="008975F0" w:rsidP="00964384">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1740" w:type="dxa"/>
            <w:tcBorders>
              <w:top w:val="nil"/>
              <w:left w:val="nil"/>
              <w:bottom w:val="single" w:sz="8" w:space="0" w:color="auto"/>
              <w:right w:val="nil"/>
            </w:tcBorders>
            <w:shd w:val="clear" w:color="000000" w:fill="D9D9D9"/>
            <w:noWrap/>
            <w:vAlign w:val="center"/>
            <w:hideMark/>
          </w:tcPr>
          <w:p w14:paraId="437F027E" w14:textId="77777777" w:rsidR="008975F0" w:rsidRPr="005732FC" w:rsidRDefault="008975F0" w:rsidP="00964384">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353" w:type="dxa"/>
            <w:tcBorders>
              <w:top w:val="nil"/>
              <w:left w:val="nil"/>
              <w:bottom w:val="single" w:sz="8" w:space="0" w:color="auto"/>
              <w:right w:val="nil"/>
            </w:tcBorders>
            <w:shd w:val="clear" w:color="000000" w:fill="D9D9D9"/>
            <w:noWrap/>
            <w:vAlign w:val="center"/>
            <w:hideMark/>
          </w:tcPr>
          <w:p w14:paraId="7A8F63C7" w14:textId="77777777" w:rsidR="008975F0" w:rsidRPr="005732FC" w:rsidRDefault="008975F0" w:rsidP="00964384">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7,914,024.82</w:t>
            </w:r>
          </w:p>
        </w:tc>
        <w:tc>
          <w:tcPr>
            <w:tcW w:w="2268" w:type="dxa"/>
            <w:tcBorders>
              <w:top w:val="nil"/>
              <w:left w:val="nil"/>
              <w:bottom w:val="single" w:sz="8" w:space="0" w:color="auto"/>
              <w:right w:val="nil"/>
            </w:tcBorders>
            <w:shd w:val="clear" w:color="000000" w:fill="D9D9D9"/>
            <w:noWrap/>
            <w:vAlign w:val="center"/>
            <w:hideMark/>
          </w:tcPr>
          <w:p w14:paraId="69F3B87C" w14:textId="77777777" w:rsidR="008975F0" w:rsidRPr="005732FC" w:rsidRDefault="008975F0" w:rsidP="00964384">
            <w:pPr>
              <w:spacing w:after="0" w:line="240" w:lineRule="auto"/>
              <w:ind w:left="64"/>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7,914,024.82</w:t>
            </w:r>
          </w:p>
        </w:tc>
      </w:tr>
    </w:tbl>
    <w:p w14:paraId="2339386F" w14:textId="7CAB6FD0" w:rsidR="00713523" w:rsidRPr="005732FC" w:rsidRDefault="00713523" w:rsidP="00713523">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9277CF2" w14:textId="08FF3781" w:rsidR="00C04AE8" w:rsidRPr="005732FC" w:rsidRDefault="00C04AE8" w:rsidP="003613C0">
      <w:pPr>
        <w:pStyle w:val="Ttulo3"/>
        <w:ind w:hanging="284"/>
        <w:rPr>
          <w:rFonts w:ascii="Arial" w:hAnsi="Arial" w:cs="Arial"/>
          <w:sz w:val="20"/>
          <w:szCs w:val="20"/>
        </w:rPr>
      </w:pPr>
      <w:r w:rsidRPr="005732FC">
        <w:rPr>
          <w:rFonts w:ascii="Arial" w:hAnsi="Arial" w:cs="Arial"/>
          <w:color w:val="auto"/>
          <w:sz w:val="20"/>
          <w:szCs w:val="20"/>
        </w:rPr>
        <w:t>3.1</w:t>
      </w:r>
      <w:r w:rsidRPr="005732FC">
        <w:rPr>
          <w:rFonts w:ascii="Arial" w:hAnsi="Arial" w:cs="Arial"/>
          <w:color w:val="auto"/>
          <w:sz w:val="20"/>
          <w:szCs w:val="20"/>
        </w:rPr>
        <w:tab/>
        <w:t xml:space="preserve"> El saldo de anticipos a proveedores por adquisición de bienes y prestación de servicios a corto plazo está integrado por operaciones provenientes de los siguientes ejercicios: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AF11140" w14:textId="77777777" w:rsidR="00C04AE8" w:rsidRPr="005732FC" w:rsidRDefault="00C04AE8" w:rsidP="00C04AE8">
      <w:pPr>
        <w:spacing w:after="0"/>
        <w:jc w:val="both"/>
        <w:rPr>
          <w:rFonts w:ascii="Arial" w:hAnsi="Arial" w:cs="Arial"/>
          <w:sz w:val="20"/>
          <w:szCs w:val="20"/>
        </w:rPr>
      </w:pPr>
      <w:r w:rsidRPr="005732FC">
        <w:rPr>
          <w:rFonts w:ascii="Arial" w:hAnsi="Arial" w:cs="Arial"/>
          <w:sz w:val="20"/>
          <w:szCs w:val="20"/>
        </w:rPr>
        <w:tab/>
      </w:r>
    </w:p>
    <w:tbl>
      <w:tblPr>
        <w:tblW w:w="3920" w:type="dxa"/>
        <w:tblCellMar>
          <w:left w:w="70" w:type="dxa"/>
          <w:right w:w="70" w:type="dxa"/>
        </w:tblCellMar>
        <w:tblLook w:val="04A0" w:firstRow="1" w:lastRow="0" w:firstColumn="1" w:lastColumn="0" w:noHBand="0" w:noVBand="1"/>
      </w:tblPr>
      <w:tblGrid>
        <w:gridCol w:w="2500"/>
        <w:gridCol w:w="1420"/>
      </w:tblGrid>
      <w:tr w:rsidR="00C04AE8" w:rsidRPr="005732FC" w14:paraId="151D41F0" w14:textId="77777777" w:rsidTr="00C01DEB">
        <w:trPr>
          <w:trHeight w:val="255"/>
        </w:trPr>
        <w:tc>
          <w:tcPr>
            <w:tcW w:w="2500" w:type="dxa"/>
            <w:tcBorders>
              <w:top w:val="nil"/>
              <w:left w:val="nil"/>
              <w:bottom w:val="nil"/>
              <w:right w:val="nil"/>
            </w:tcBorders>
            <w:shd w:val="clear" w:color="auto" w:fill="auto"/>
            <w:noWrap/>
            <w:vAlign w:val="center"/>
            <w:hideMark/>
          </w:tcPr>
          <w:p w14:paraId="3D2FAD13" w14:textId="77777777" w:rsidR="00C04AE8" w:rsidRPr="005732FC" w:rsidRDefault="00C04AE8" w:rsidP="00C01DEB">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Ejercicio 2012</w:t>
            </w:r>
          </w:p>
        </w:tc>
        <w:tc>
          <w:tcPr>
            <w:tcW w:w="1420" w:type="dxa"/>
            <w:tcBorders>
              <w:top w:val="nil"/>
              <w:left w:val="nil"/>
              <w:bottom w:val="nil"/>
              <w:right w:val="nil"/>
            </w:tcBorders>
            <w:shd w:val="clear" w:color="auto" w:fill="auto"/>
            <w:noWrap/>
            <w:vAlign w:val="center"/>
            <w:hideMark/>
          </w:tcPr>
          <w:p w14:paraId="690F903C" w14:textId="77777777" w:rsidR="00C04AE8" w:rsidRPr="005732FC"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$188,622.00</w:t>
            </w:r>
          </w:p>
        </w:tc>
      </w:tr>
      <w:tr w:rsidR="00C04AE8" w:rsidRPr="005732FC" w14:paraId="5BB150F4" w14:textId="77777777" w:rsidTr="00C01DEB">
        <w:trPr>
          <w:trHeight w:val="255"/>
        </w:trPr>
        <w:tc>
          <w:tcPr>
            <w:tcW w:w="2500" w:type="dxa"/>
            <w:tcBorders>
              <w:top w:val="nil"/>
              <w:left w:val="nil"/>
              <w:bottom w:val="nil"/>
              <w:right w:val="nil"/>
            </w:tcBorders>
            <w:shd w:val="clear" w:color="auto" w:fill="auto"/>
            <w:noWrap/>
            <w:vAlign w:val="center"/>
            <w:hideMark/>
          </w:tcPr>
          <w:p w14:paraId="1E775C7F" w14:textId="77777777" w:rsidR="00C04AE8" w:rsidRPr="005732FC" w:rsidRDefault="00C04AE8" w:rsidP="00C01DEB">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Ejercicio 2010</w:t>
            </w:r>
          </w:p>
        </w:tc>
        <w:tc>
          <w:tcPr>
            <w:tcW w:w="1420" w:type="dxa"/>
            <w:tcBorders>
              <w:top w:val="nil"/>
              <w:left w:val="nil"/>
              <w:bottom w:val="nil"/>
              <w:right w:val="nil"/>
            </w:tcBorders>
            <w:shd w:val="clear" w:color="auto" w:fill="auto"/>
            <w:noWrap/>
            <w:vAlign w:val="center"/>
            <w:hideMark/>
          </w:tcPr>
          <w:p w14:paraId="6424327A" w14:textId="77777777" w:rsidR="00C04AE8" w:rsidRPr="005732FC"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$934,156.54</w:t>
            </w:r>
          </w:p>
        </w:tc>
      </w:tr>
      <w:tr w:rsidR="00C04AE8" w:rsidRPr="005732FC" w14:paraId="2902CD61" w14:textId="77777777" w:rsidTr="00C01DEB">
        <w:trPr>
          <w:trHeight w:val="255"/>
        </w:trPr>
        <w:tc>
          <w:tcPr>
            <w:tcW w:w="2500" w:type="dxa"/>
            <w:tcBorders>
              <w:top w:val="nil"/>
              <w:left w:val="nil"/>
              <w:bottom w:val="nil"/>
              <w:right w:val="nil"/>
            </w:tcBorders>
            <w:shd w:val="clear" w:color="auto" w:fill="auto"/>
            <w:noWrap/>
            <w:vAlign w:val="center"/>
            <w:hideMark/>
          </w:tcPr>
          <w:p w14:paraId="3C7B8A4A" w14:textId="77777777" w:rsidR="00C04AE8" w:rsidRPr="005732FC" w:rsidRDefault="00C04AE8" w:rsidP="00C01DEB">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Ejercicio 2009</w:t>
            </w:r>
          </w:p>
        </w:tc>
        <w:tc>
          <w:tcPr>
            <w:tcW w:w="1420" w:type="dxa"/>
            <w:tcBorders>
              <w:top w:val="nil"/>
              <w:left w:val="nil"/>
              <w:bottom w:val="nil"/>
              <w:right w:val="nil"/>
            </w:tcBorders>
            <w:shd w:val="clear" w:color="auto" w:fill="auto"/>
            <w:noWrap/>
            <w:vAlign w:val="center"/>
            <w:hideMark/>
          </w:tcPr>
          <w:p w14:paraId="6A751711" w14:textId="77777777" w:rsidR="00C04AE8" w:rsidRPr="005732FC"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$48,126.60</w:t>
            </w:r>
          </w:p>
        </w:tc>
      </w:tr>
      <w:tr w:rsidR="00C04AE8" w:rsidRPr="005732FC" w14:paraId="3081D249" w14:textId="77777777" w:rsidTr="00C01DEB">
        <w:trPr>
          <w:trHeight w:val="255"/>
        </w:trPr>
        <w:tc>
          <w:tcPr>
            <w:tcW w:w="2500" w:type="dxa"/>
            <w:tcBorders>
              <w:top w:val="nil"/>
              <w:left w:val="nil"/>
              <w:bottom w:val="nil"/>
              <w:right w:val="nil"/>
            </w:tcBorders>
            <w:shd w:val="clear" w:color="auto" w:fill="auto"/>
            <w:noWrap/>
            <w:vAlign w:val="center"/>
            <w:hideMark/>
          </w:tcPr>
          <w:p w14:paraId="6B8DD2C9" w14:textId="77777777" w:rsidR="00C04AE8" w:rsidRPr="005732FC" w:rsidRDefault="00C04AE8" w:rsidP="00C01DEB">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Ejercicio 2008</w:t>
            </w:r>
          </w:p>
        </w:tc>
        <w:tc>
          <w:tcPr>
            <w:tcW w:w="1420" w:type="dxa"/>
            <w:tcBorders>
              <w:top w:val="nil"/>
              <w:left w:val="nil"/>
              <w:bottom w:val="nil"/>
              <w:right w:val="nil"/>
            </w:tcBorders>
            <w:shd w:val="clear" w:color="auto" w:fill="auto"/>
            <w:noWrap/>
            <w:vAlign w:val="center"/>
            <w:hideMark/>
          </w:tcPr>
          <w:p w14:paraId="3ADC4CF9" w14:textId="77777777" w:rsidR="00C04AE8" w:rsidRPr="005732FC"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$123,490.00</w:t>
            </w:r>
          </w:p>
        </w:tc>
      </w:tr>
      <w:tr w:rsidR="00C04AE8" w:rsidRPr="005732FC" w14:paraId="3BF79B9A" w14:textId="77777777" w:rsidTr="00C01DEB">
        <w:trPr>
          <w:trHeight w:val="255"/>
        </w:trPr>
        <w:tc>
          <w:tcPr>
            <w:tcW w:w="2500" w:type="dxa"/>
            <w:tcBorders>
              <w:top w:val="nil"/>
              <w:left w:val="nil"/>
              <w:bottom w:val="nil"/>
              <w:right w:val="nil"/>
            </w:tcBorders>
            <w:shd w:val="clear" w:color="auto" w:fill="auto"/>
            <w:noWrap/>
            <w:vAlign w:val="center"/>
            <w:hideMark/>
          </w:tcPr>
          <w:p w14:paraId="7F6D0E96" w14:textId="77777777" w:rsidR="00C04AE8" w:rsidRPr="005732FC" w:rsidRDefault="00C04AE8" w:rsidP="00C01DEB">
            <w:pPr>
              <w:spacing w:after="0" w:line="240" w:lineRule="auto"/>
              <w:jc w:val="both"/>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Ejercicio 2007</w:t>
            </w:r>
          </w:p>
        </w:tc>
        <w:tc>
          <w:tcPr>
            <w:tcW w:w="1420" w:type="dxa"/>
            <w:tcBorders>
              <w:top w:val="nil"/>
              <w:left w:val="nil"/>
              <w:bottom w:val="nil"/>
              <w:right w:val="nil"/>
            </w:tcBorders>
            <w:shd w:val="clear" w:color="auto" w:fill="auto"/>
            <w:noWrap/>
            <w:vAlign w:val="center"/>
            <w:hideMark/>
          </w:tcPr>
          <w:p w14:paraId="15D5890E" w14:textId="77777777" w:rsidR="00C04AE8" w:rsidRPr="005732FC"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$1,707,393.73</w:t>
            </w:r>
          </w:p>
        </w:tc>
      </w:tr>
      <w:tr w:rsidR="00C04AE8" w:rsidRPr="005732FC" w14:paraId="5F5D8E95" w14:textId="77777777" w:rsidTr="00C01DEB">
        <w:trPr>
          <w:trHeight w:val="255"/>
        </w:trPr>
        <w:tc>
          <w:tcPr>
            <w:tcW w:w="2500" w:type="dxa"/>
            <w:tcBorders>
              <w:top w:val="nil"/>
              <w:left w:val="nil"/>
              <w:bottom w:val="nil"/>
              <w:right w:val="nil"/>
            </w:tcBorders>
            <w:shd w:val="clear" w:color="auto" w:fill="auto"/>
            <w:noWrap/>
            <w:vAlign w:val="bottom"/>
            <w:hideMark/>
          </w:tcPr>
          <w:p w14:paraId="251941A8" w14:textId="77777777" w:rsidR="00C04AE8" w:rsidRPr="005732FC" w:rsidRDefault="00C04AE8" w:rsidP="00C01DEB">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Ejercicio 2006 y anteriores</w:t>
            </w:r>
          </w:p>
        </w:tc>
        <w:tc>
          <w:tcPr>
            <w:tcW w:w="1420" w:type="dxa"/>
            <w:tcBorders>
              <w:top w:val="nil"/>
              <w:left w:val="nil"/>
              <w:bottom w:val="nil"/>
              <w:right w:val="nil"/>
            </w:tcBorders>
            <w:shd w:val="clear" w:color="auto" w:fill="auto"/>
            <w:noWrap/>
            <w:vAlign w:val="center"/>
            <w:hideMark/>
          </w:tcPr>
          <w:p w14:paraId="54F89449" w14:textId="77777777" w:rsidR="00C04AE8" w:rsidRPr="005732FC" w:rsidRDefault="00C04AE8" w:rsidP="00C01DEB">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$2,232,776.73</w:t>
            </w:r>
          </w:p>
        </w:tc>
      </w:tr>
      <w:tr w:rsidR="009B2DFC" w:rsidRPr="005732FC" w14:paraId="6414AE07" w14:textId="77777777" w:rsidTr="00C01DEB">
        <w:trPr>
          <w:trHeight w:val="255"/>
        </w:trPr>
        <w:tc>
          <w:tcPr>
            <w:tcW w:w="2500" w:type="dxa"/>
            <w:tcBorders>
              <w:top w:val="nil"/>
              <w:left w:val="nil"/>
              <w:bottom w:val="nil"/>
              <w:right w:val="nil"/>
            </w:tcBorders>
            <w:shd w:val="clear" w:color="auto" w:fill="auto"/>
            <w:noWrap/>
            <w:vAlign w:val="bottom"/>
          </w:tcPr>
          <w:p w14:paraId="0B550FBA" w14:textId="77777777" w:rsidR="009B2DFC" w:rsidRPr="005732FC" w:rsidRDefault="009B2DFC" w:rsidP="00C01DEB">
            <w:pPr>
              <w:spacing w:after="0" w:line="240" w:lineRule="auto"/>
              <w:rPr>
                <w:rFonts w:ascii="Arial" w:eastAsia="Times New Roman" w:hAnsi="Arial" w:cs="Arial"/>
                <w:color w:val="000000"/>
                <w:kern w:val="0"/>
                <w:sz w:val="20"/>
                <w:szCs w:val="20"/>
                <w:lang w:eastAsia="es-MX"/>
                <w14:ligatures w14:val="none"/>
              </w:rPr>
            </w:pPr>
          </w:p>
        </w:tc>
        <w:tc>
          <w:tcPr>
            <w:tcW w:w="1420" w:type="dxa"/>
            <w:tcBorders>
              <w:top w:val="nil"/>
              <w:left w:val="nil"/>
              <w:bottom w:val="nil"/>
              <w:right w:val="nil"/>
            </w:tcBorders>
            <w:shd w:val="clear" w:color="auto" w:fill="auto"/>
            <w:noWrap/>
            <w:vAlign w:val="center"/>
          </w:tcPr>
          <w:p w14:paraId="5949176E" w14:textId="77777777" w:rsidR="009B2DFC" w:rsidRPr="005732FC" w:rsidRDefault="009B2DFC" w:rsidP="00C01DEB">
            <w:pPr>
              <w:spacing w:after="0" w:line="240" w:lineRule="auto"/>
              <w:jc w:val="right"/>
              <w:rPr>
                <w:rFonts w:ascii="Arial" w:eastAsia="Times New Roman" w:hAnsi="Arial" w:cs="Arial"/>
                <w:color w:val="000000"/>
                <w:kern w:val="0"/>
                <w:sz w:val="20"/>
                <w:szCs w:val="20"/>
                <w:lang w:eastAsia="es-MX"/>
                <w14:ligatures w14:val="none"/>
              </w:rPr>
            </w:pPr>
          </w:p>
        </w:tc>
      </w:tr>
    </w:tbl>
    <w:p w14:paraId="6D50682D" w14:textId="56FCDA7B" w:rsidR="00427AF4" w:rsidRPr="005732FC" w:rsidRDefault="00BA3347" w:rsidP="00427AF4">
      <w:pPr>
        <w:pStyle w:val="Ttulo3"/>
        <w:spacing w:before="0"/>
        <w:ind w:hanging="284"/>
        <w:jc w:val="both"/>
        <w:rPr>
          <w:rFonts w:ascii="Arial" w:hAnsi="Arial" w:cs="Arial"/>
          <w:sz w:val="20"/>
          <w:szCs w:val="20"/>
        </w:rPr>
      </w:pPr>
      <w:r w:rsidRPr="005732FC">
        <w:rPr>
          <w:rFonts w:ascii="Arial" w:hAnsi="Arial" w:cs="Arial"/>
          <w:color w:val="auto"/>
          <w:sz w:val="20"/>
          <w:szCs w:val="20"/>
        </w:rPr>
        <w:t>3.</w:t>
      </w:r>
      <w:r w:rsidR="00427AF4" w:rsidRPr="005732FC">
        <w:rPr>
          <w:rFonts w:ascii="Arial" w:hAnsi="Arial" w:cs="Arial"/>
          <w:color w:val="auto"/>
          <w:sz w:val="20"/>
          <w:szCs w:val="20"/>
        </w:rPr>
        <w:t>2 Los anticipos a contratistas que al 30 de junio 2025 presenta un saldo de $ 2,679,459.22 se integra por los anticipos de obras otorgados por la ejecución de los programas de obras de administraciones anteriores, el cual se detallan a continuación:</w:t>
      </w:r>
      <w:r w:rsidR="00427AF4" w:rsidRPr="005732FC">
        <w:rPr>
          <w:rFonts w:ascii="Arial" w:hAnsi="Arial" w:cs="Arial"/>
          <w:color w:val="auto"/>
          <w:sz w:val="20"/>
          <w:szCs w:val="20"/>
        </w:rPr>
        <w:tab/>
      </w:r>
      <w:r w:rsidR="00427AF4" w:rsidRPr="005732FC">
        <w:rPr>
          <w:rFonts w:ascii="Arial" w:hAnsi="Arial" w:cs="Arial"/>
          <w:sz w:val="20"/>
          <w:szCs w:val="20"/>
        </w:rPr>
        <w:tab/>
      </w:r>
      <w:r w:rsidR="00427AF4" w:rsidRPr="005732FC">
        <w:rPr>
          <w:rFonts w:ascii="Arial" w:hAnsi="Arial" w:cs="Arial"/>
          <w:sz w:val="20"/>
          <w:szCs w:val="20"/>
        </w:rPr>
        <w:tab/>
      </w:r>
      <w:r w:rsidR="00427AF4" w:rsidRPr="005732FC">
        <w:rPr>
          <w:rFonts w:ascii="Arial" w:hAnsi="Arial" w:cs="Arial"/>
          <w:sz w:val="20"/>
          <w:szCs w:val="20"/>
        </w:rPr>
        <w:tab/>
      </w:r>
      <w:r w:rsidR="00427AF4" w:rsidRPr="005732FC">
        <w:rPr>
          <w:rFonts w:ascii="Arial" w:hAnsi="Arial" w:cs="Arial"/>
          <w:sz w:val="20"/>
          <w:szCs w:val="20"/>
        </w:rPr>
        <w:tab/>
      </w:r>
      <w:r w:rsidR="00427AF4" w:rsidRPr="005732FC">
        <w:rPr>
          <w:rFonts w:ascii="Arial" w:hAnsi="Arial" w:cs="Arial"/>
          <w:sz w:val="20"/>
          <w:szCs w:val="20"/>
        </w:rPr>
        <w:tab/>
      </w:r>
      <w:r w:rsidR="00427AF4" w:rsidRPr="005732FC">
        <w:rPr>
          <w:rFonts w:ascii="Arial" w:hAnsi="Arial" w:cs="Arial"/>
          <w:sz w:val="20"/>
          <w:szCs w:val="20"/>
        </w:rPr>
        <w:tab/>
      </w:r>
      <w:r w:rsidR="00427AF4" w:rsidRPr="005732FC">
        <w:rPr>
          <w:rFonts w:ascii="Arial" w:hAnsi="Arial" w:cs="Arial"/>
          <w:sz w:val="20"/>
          <w:szCs w:val="20"/>
        </w:rPr>
        <w:tab/>
      </w:r>
    </w:p>
    <w:p w14:paraId="40B977B7" w14:textId="77777777" w:rsidR="00427AF4" w:rsidRPr="005732FC" w:rsidRDefault="00427AF4" w:rsidP="00427AF4">
      <w:pPr>
        <w:spacing w:after="0"/>
        <w:jc w:val="both"/>
        <w:rPr>
          <w:rFonts w:ascii="Arial" w:hAnsi="Arial" w:cs="Arial"/>
          <w:sz w:val="20"/>
          <w:szCs w:val="20"/>
        </w:rPr>
      </w:pPr>
    </w:p>
    <w:tbl>
      <w:tblPr>
        <w:tblW w:w="3263" w:type="dxa"/>
        <w:tblCellMar>
          <w:left w:w="70" w:type="dxa"/>
          <w:right w:w="70" w:type="dxa"/>
        </w:tblCellMar>
        <w:tblLook w:val="04A0" w:firstRow="1" w:lastRow="0" w:firstColumn="1" w:lastColumn="0" w:noHBand="0" w:noVBand="1"/>
      </w:tblPr>
      <w:tblGrid>
        <w:gridCol w:w="1843"/>
        <w:gridCol w:w="1420"/>
      </w:tblGrid>
      <w:tr w:rsidR="00427AF4" w:rsidRPr="005732FC" w14:paraId="6E626618" w14:textId="77777777" w:rsidTr="008C77A6">
        <w:trPr>
          <w:trHeight w:val="255"/>
        </w:trPr>
        <w:tc>
          <w:tcPr>
            <w:tcW w:w="1843" w:type="dxa"/>
            <w:tcBorders>
              <w:top w:val="nil"/>
              <w:left w:val="nil"/>
              <w:bottom w:val="nil"/>
              <w:right w:val="nil"/>
            </w:tcBorders>
            <w:shd w:val="clear" w:color="auto" w:fill="auto"/>
            <w:noWrap/>
            <w:vAlign w:val="center"/>
            <w:hideMark/>
          </w:tcPr>
          <w:p w14:paraId="26327A94" w14:textId="77777777" w:rsidR="00427AF4" w:rsidRPr="005732FC" w:rsidRDefault="00427AF4" w:rsidP="00427AF4">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Ejercicio 2012</w:t>
            </w:r>
          </w:p>
        </w:tc>
        <w:tc>
          <w:tcPr>
            <w:tcW w:w="1420" w:type="dxa"/>
            <w:tcBorders>
              <w:top w:val="nil"/>
              <w:left w:val="nil"/>
              <w:bottom w:val="nil"/>
              <w:right w:val="nil"/>
            </w:tcBorders>
            <w:shd w:val="clear" w:color="auto" w:fill="auto"/>
            <w:noWrap/>
            <w:vAlign w:val="center"/>
            <w:hideMark/>
          </w:tcPr>
          <w:p w14:paraId="79954419" w14:textId="77777777" w:rsidR="00427AF4" w:rsidRPr="005732FC" w:rsidRDefault="00427AF4" w:rsidP="00427AF4">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$356,704.93</w:t>
            </w:r>
          </w:p>
        </w:tc>
      </w:tr>
      <w:tr w:rsidR="00427AF4" w:rsidRPr="005732FC" w14:paraId="0327AA1B" w14:textId="77777777" w:rsidTr="008C77A6">
        <w:trPr>
          <w:trHeight w:val="255"/>
        </w:trPr>
        <w:tc>
          <w:tcPr>
            <w:tcW w:w="1843" w:type="dxa"/>
            <w:tcBorders>
              <w:top w:val="nil"/>
              <w:left w:val="nil"/>
              <w:bottom w:val="nil"/>
              <w:right w:val="nil"/>
            </w:tcBorders>
            <w:shd w:val="clear" w:color="auto" w:fill="auto"/>
            <w:noWrap/>
            <w:vAlign w:val="center"/>
            <w:hideMark/>
          </w:tcPr>
          <w:p w14:paraId="4FF3A007" w14:textId="77777777" w:rsidR="00427AF4" w:rsidRPr="005732FC" w:rsidRDefault="00427AF4" w:rsidP="00427AF4">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Ejercicio 2011</w:t>
            </w:r>
          </w:p>
        </w:tc>
        <w:tc>
          <w:tcPr>
            <w:tcW w:w="1420" w:type="dxa"/>
            <w:tcBorders>
              <w:top w:val="nil"/>
              <w:left w:val="nil"/>
              <w:bottom w:val="nil"/>
              <w:right w:val="nil"/>
            </w:tcBorders>
            <w:shd w:val="clear" w:color="auto" w:fill="auto"/>
            <w:noWrap/>
            <w:vAlign w:val="center"/>
            <w:hideMark/>
          </w:tcPr>
          <w:p w14:paraId="504F0961" w14:textId="77777777" w:rsidR="00427AF4" w:rsidRPr="005732FC" w:rsidRDefault="00427AF4" w:rsidP="00427AF4">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$415,658.57</w:t>
            </w:r>
          </w:p>
        </w:tc>
      </w:tr>
      <w:tr w:rsidR="00427AF4" w:rsidRPr="005732FC" w14:paraId="32CBB078" w14:textId="77777777" w:rsidTr="008C77A6">
        <w:trPr>
          <w:trHeight w:val="255"/>
        </w:trPr>
        <w:tc>
          <w:tcPr>
            <w:tcW w:w="1843" w:type="dxa"/>
            <w:tcBorders>
              <w:top w:val="nil"/>
              <w:left w:val="nil"/>
              <w:bottom w:val="nil"/>
              <w:right w:val="nil"/>
            </w:tcBorders>
            <w:shd w:val="clear" w:color="auto" w:fill="auto"/>
            <w:noWrap/>
            <w:vAlign w:val="bottom"/>
            <w:hideMark/>
          </w:tcPr>
          <w:p w14:paraId="23B57573" w14:textId="77777777" w:rsidR="00427AF4" w:rsidRPr="005732FC" w:rsidRDefault="00427AF4" w:rsidP="00427AF4">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Ejercicio 2007</w:t>
            </w:r>
          </w:p>
        </w:tc>
        <w:tc>
          <w:tcPr>
            <w:tcW w:w="1420" w:type="dxa"/>
            <w:tcBorders>
              <w:top w:val="nil"/>
              <w:left w:val="nil"/>
              <w:bottom w:val="nil"/>
              <w:right w:val="nil"/>
            </w:tcBorders>
            <w:shd w:val="clear" w:color="auto" w:fill="auto"/>
            <w:noWrap/>
            <w:vAlign w:val="bottom"/>
            <w:hideMark/>
          </w:tcPr>
          <w:p w14:paraId="036773A2" w14:textId="77777777" w:rsidR="00427AF4" w:rsidRPr="005732FC" w:rsidRDefault="00427AF4" w:rsidP="00427AF4">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$1,907,095.72</w:t>
            </w:r>
          </w:p>
        </w:tc>
      </w:tr>
    </w:tbl>
    <w:p w14:paraId="4B3DC249" w14:textId="4887DFA4" w:rsidR="00427AF4" w:rsidRPr="005732FC" w:rsidRDefault="00427AF4" w:rsidP="00427AF4">
      <w:pPr>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B534A6E" w14:textId="77777777" w:rsidR="00427AF4" w:rsidRPr="005732FC" w:rsidRDefault="00427AF4" w:rsidP="00427AF4">
      <w:pPr>
        <w:jc w:val="both"/>
        <w:rPr>
          <w:rFonts w:ascii="Arial" w:hAnsi="Arial" w:cs="Arial"/>
          <w:sz w:val="20"/>
          <w:szCs w:val="20"/>
        </w:rPr>
      </w:pPr>
      <w:r w:rsidRPr="005732FC">
        <w:rPr>
          <w:rFonts w:ascii="Arial" w:hAnsi="Arial" w:cs="Arial"/>
          <w:sz w:val="20"/>
          <w:szCs w:val="20"/>
        </w:rPr>
        <w:t>Es importante señalar que los importes de ejercicios anteriores a 2006 y 2007 no es posible integrarla y/o identificarla debido a la antigüedad de los saldos y por la imposibilidad técnica de acceder a la información a consecuencia de la obsolescencia del equipo donde se encuentra alojado el programa contable.</w:t>
      </w:r>
    </w:p>
    <w:p w14:paraId="1BF63684" w14:textId="33599F72" w:rsidR="00BA3347" w:rsidRPr="005732FC" w:rsidRDefault="00C87B49" w:rsidP="00CA65C1">
      <w:pPr>
        <w:pStyle w:val="Ttulo2"/>
        <w:ind w:hanging="284"/>
        <w:rPr>
          <w:rFonts w:ascii="Arial" w:hAnsi="Arial" w:cs="Arial"/>
          <w:b/>
          <w:bCs/>
          <w:sz w:val="20"/>
          <w:szCs w:val="20"/>
        </w:rPr>
      </w:pPr>
      <w:r w:rsidRPr="005732FC">
        <w:rPr>
          <w:rFonts w:ascii="Arial" w:hAnsi="Arial" w:cs="Arial"/>
          <w:b/>
          <w:bCs/>
          <w:color w:val="auto"/>
          <w:sz w:val="20"/>
          <w:szCs w:val="20"/>
        </w:rPr>
        <w:t xml:space="preserve">4. </w:t>
      </w:r>
      <w:r w:rsidR="00BA3347" w:rsidRPr="005732FC">
        <w:rPr>
          <w:rFonts w:ascii="Arial" w:hAnsi="Arial" w:cs="Arial"/>
          <w:b/>
          <w:bCs/>
          <w:color w:val="auto"/>
          <w:sz w:val="20"/>
          <w:szCs w:val="20"/>
        </w:rPr>
        <w:t>Inventarios</w:t>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p>
    <w:p w14:paraId="4F9631C8" w14:textId="77777777" w:rsidR="00BA3347" w:rsidRPr="005732FC" w:rsidRDefault="00BA3347" w:rsidP="005F398F">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000989A" w14:textId="11B986BA" w:rsidR="00FC2D8F" w:rsidRPr="005732FC" w:rsidRDefault="00BA3347" w:rsidP="005F398F">
      <w:pPr>
        <w:spacing w:after="0"/>
        <w:jc w:val="both"/>
        <w:rPr>
          <w:rFonts w:ascii="Arial" w:hAnsi="Arial" w:cs="Arial"/>
          <w:sz w:val="20"/>
          <w:szCs w:val="20"/>
        </w:rPr>
      </w:pPr>
      <w:r w:rsidRPr="005732FC">
        <w:rPr>
          <w:rFonts w:ascii="Arial" w:hAnsi="Arial" w:cs="Arial"/>
          <w:sz w:val="20"/>
          <w:szCs w:val="20"/>
        </w:rPr>
        <w:t xml:space="preserve">Al </w:t>
      </w:r>
      <w:r w:rsidR="00B9740A" w:rsidRPr="005732FC">
        <w:rPr>
          <w:rFonts w:ascii="Arial" w:hAnsi="Arial" w:cs="Arial"/>
          <w:sz w:val="20"/>
          <w:szCs w:val="20"/>
        </w:rPr>
        <w:t>3</w:t>
      </w:r>
      <w:r w:rsidR="00654FC1" w:rsidRPr="005732FC">
        <w:rPr>
          <w:rFonts w:ascii="Arial" w:hAnsi="Arial" w:cs="Arial"/>
          <w:sz w:val="20"/>
          <w:szCs w:val="20"/>
        </w:rPr>
        <w:t>0</w:t>
      </w:r>
      <w:r w:rsidRPr="005732FC">
        <w:rPr>
          <w:rFonts w:ascii="Arial" w:hAnsi="Arial" w:cs="Arial"/>
          <w:sz w:val="20"/>
          <w:szCs w:val="20"/>
        </w:rPr>
        <w:t xml:space="preserve"> de </w:t>
      </w:r>
      <w:r w:rsidR="00654FC1" w:rsidRPr="005732FC">
        <w:rPr>
          <w:rFonts w:ascii="Arial" w:hAnsi="Arial" w:cs="Arial"/>
          <w:sz w:val="20"/>
          <w:szCs w:val="20"/>
        </w:rPr>
        <w:t>junio</w:t>
      </w:r>
      <w:r w:rsidR="00B9740A" w:rsidRPr="005732FC">
        <w:rPr>
          <w:rFonts w:ascii="Arial" w:hAnsi="Arial" w:cs="Arial"/>
          <w:sz w:val="20"/>
          <w:szCs w:val="20"/>
        </w:rPr>
        <w:t xml:space="preserve"> </w:t>
      </w:r>
      <w:r w:rsidRPr="005732FC">
        <w:rPr>
          <w:rFonts w:ascii="Arial" w:hAnsi="Arial" w:cs="Arial"/>
          <w:sz w:val="20"/>
          <w:szCs w:val="20"/>
        </w:rPr>
        <w:t>de 202</w:t>
      </w:r>
      <w:r w:rsidR="00DD16C4" w:rsidRPr="005732FC">
        <w:rPr>
          <w:rFonts w:ascii="Arial" w:hAnsi="Arial" w:cs="Arial"/>
          <w:sz w:val="20"/>
          <w:szCs w:val="20"/>
        </w:rPr>
        <w:t>5</w:t>
      </w:r>
      <w:r w:rsidRPr="005732FC">
        <w:rPr>
          <w:rFonts w:ascii="Arial" w:hAnsi="Arial" w:cs="Arial"/>
          <w:sz w:val="20"/>
          <w:szCs w:val="20"/>
        </w:rPr>
        <w:t>, el Municipio de Benito Juárez no ha adquirido materias primas en estado natural, transformadas o semitransformadas de naturaleza vegetal, animal y mineral, materiales ni suministros, en virtud de que no realiza procesos de producción, elaboración ni transformación de mercancías para uso o venta.</w:t>
      </w:r>
    </w:p>
    <w:p w14:paraId="41EB28B5" w14:textId="0FAB49E4" w:rsidR="00BA3347" w:rsidRPr="005732FC" w:rsidRDefault="00BA3347" w:rsidP="005F398F">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5857CA5" w14:textId="76F284FF" w:rsidR="00BA3347" w:rsidRPr="005732FC" w:rsidRDefault="00BA3347" w:rsidP="00CA65C1">
      <w:pPr>
        <w:pStyle w:val="Ttulo2"/>
        <w:numPr>
          <w:ilvl w:val="0"/>
          <w:numId w:val="40"/>
        </w:numPr>
        <w:spacing w:before="0"/>
        <w:ind w:left="0" w:hanging="284"/>
        <w:rPr>
          <w:rFonts w:ascii="Arial" w:hAnsi="Arial" w:cs="Arial"/>
          <w:b/>
          <w:bCs/>
          <w:sz w:val="20"/>
          <w:szCs w:val="20"/>
        </w:rPr>
      </w:pPr>
      <w:r w:rsidRPr="005732FC">
        <w:rPr>
          <w:rFonts w:ascii="Arial" w:hAnsi="Arial" w:cs="Arial"/>
          <w:b/>
          <w:bCs/>
          <w:color w:val="auto"/>
          <w:sz w:val="20"/>
          <w:szCs w:val="20"/>
        </w:rPr>
        <w:t>Almacenes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1D0BBE6E" w14:textId="77777777" w:rsidR="00BA3347" w:rsidRPr="005732FC" w:rsidRDefault="00BA3347" w:rsidP="005F398F">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B865F9D" w14:textId="77777777" w:rsidR="00EC2E2E" w:rsidRPr="005732FC" w:rsidRDefault="00EC2E2E" w:rsidP="00EC2E2E">
      <w:pPr>
        <w:spacing w:after="0"/>
        <w:jc w:val="both"/>
        <w:rPr>
          <w:rFonts w:ascii="Arial" w:hAnsi="Arial" w:cs="Arial"/>
          <w:sz w:val="20"/>
          <w:szCs w:val="20"/>
        </w:rPr>
      </w:pPr>
      <w:r w:rsidRPr="005732FC">
        <w:rPr>
          <w:rFonts w:ascii="Arial" w:hAnsi="Arial" w:cs="Arial"/>
          <w:sz w:val="20"/>
          <w:szCs w:val="20"/>
        </w:rPr>
        <w:t>La cuenta de Almacenes se utiliza para controlar las entradas y salidas de los bienes consumibles adquiridos para ser distribuidos entre los usuarios; su composición al 30 de junio del 2025 es la siguiente:</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9639" w:type="dxa"/>
        <w:tblCellMar>
          <w:left w:w="70" w:type="dxa"/>
          <w:right w:w="70" w:type="dxa"/>
        </w:tblCellMar>
        <w:tblLook w:val="04A0" w:firstRow="1" w:lastRow="0" w:firstColumn="1" w:lastColumn="0" w:noHBand="0" w:noVBand="1"/>
      </w:tblPr>
      <w:tblGrid>
        <w:gridCol w:w="3852"/>
        <w:gridCol w:w="654"/>
        <w:gridCol w:w="654"/>
        <w:gridCol w:w="2211"/>
        <w:gridCol w:w="2268"/>
      </w:tblGrid>
      <w:tr w:rsidR="00EC2E2E" w:rsidRPr="005732FC" w14:paraId="4BE046AC" w14:textId="77777777" w:rsidTr="008C77A6">
        <w:trPr>
          <w:trHeight w:val="20"/>
          <w:tblHeader/>
        </w:trPr>
        <w:tc>
          <w:tcPr>
            <w:tcW w:w="5160" w:type="dxa"/>
            <w:gridSpan w:val="3"/>
            <w:tcBorders>
              <w:top w:val="single" w:sz="8" w:space="0" w:color="auto"/>
              <w:left w:val="nil"/>
              <w:bottom w:val="single" w:sz="8" w:space="0" w:color="auto"/>
              <w:right w:val="nil"/>
            </w:tcBorders>
            <w:shd w:val="clear" w:color="000000" w:fill="D9D9D9"/>
            <w:vAlign w:val="center"/>
            <w:hideMark/>
          </w:tcPr>
          <w:p w14:paraId="6D0F00A5" w14:textId="77777777" w:rsidR="00EC2E2E" w:rsidRPr="005732FC" w:rsidRDefault="00EC2E2E" w:rsidP="00EC2E2E">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211" w:type="dxa"/>
            <w:tcBorders>
              <w:top w:val="single" w:sz="8" w:space="0" w:color="auto"/>
              <w:left w:val="nil"/>
              <w:bottom w:val="single" w:sz="8" w:space="0" w:color="auto"/>
              <w:right w:val="nil"/>
            </w:tcBorders>
            <w:shd w:val="clear" w:color="000000" w:fill="D9D9D9"/>
            <w:vAlign w:val="center"/>
            <w:hideMark/>
          </w:tcPr>
          <w:p w14:paraId="7398A875" w14:textId="77777777" w:rsidR="00EC2E2E" w:rsidRPr="005732FC" w:rsidRDefault="00EC2E2E" w:rsidP="00EC2E2E">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42838DB6" w14:textId="77777777" w:rsidR="00EC2E2E" w:rsidRPr="005732FC" w:rsidRDefault="00EC2E2E" w:rsidP="00EC2E2E">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EC2E2E" w:rsidRPr="005732FC" w14:paraId="161D1B8E" w14:textId="77777777" w:rsidTr="008C77A6">
        <w:trPr>
          <w:trHeight w:val="20"/>
        </w:trPr>
        <w:tc>
          <w:tcPr>
            <w:tcW w:w="5160" w:type="dxa"/>
            <w:gridSpan w:val="3"/>
            <w:tcBorders>
              <w:top w:val="nil"/>
              <w:left w:val="nil"/>
              <w:bottom w:val="single" w:sz="8" w:space="0" w:color="auto"/>
              <w:right w:val="nil"/>
            </w:tcBorders>
            <w:shd w:val="clear" w:color="auto" w:fill="auto"/>
            <w:noWrap/>
            <w:vAlign w:val="center"/>
            <w:hideMark/>
          </w:tcPr>
          <w:p w14:paraId="7604203A" w14:textId="77777777" w:rsidR="00EC2E2E" w:rsidRPr="005732FC" w:rsidRDefault="00EC2E2E" w:rsidP="00EC2E2E">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Almacén de Materiales y Suministros de Consumo </w:t>
            </w:r>
          </w:p>
        </w:tc>
        <w:tc>
          <w:tcPr>
            <w:tcW w:w="2211" w:type="dxa"/>
            <w:tcBorders>
              <w:top w:val="nil"/>
              <w:left w:val="nil"/>
              <w:bottom w:val="single" w:sz="8" w:space="0" w:color="auto"/>
              <w:right w:val="nil"/>
            </w:tcBorders>
            <w:shd w:val="clear" w:color="auto" w:fill="auto"/>
            <w:noWrap/>
            <w:vAlign w:val="center"/>
            <w:hideMark/>
          </w:tcPr>
          <w:p w14:paraId="175558EB" w14:textId="77777777" w:rsidR="00EC2E2E" w:rsidRPr="005732FC" w:rsidRDefault="00EC2E2E" w:rsidP="00EC2E2E">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0.00 </w:t>
            </w:r>
          </w:p>
        </w:tc>
        <w:tc>
          <w:tcPr>
            <w:tcW w:w="2268" w:type="dxa"/>
            <w:tcBorders>
              <w:top w:val="nil"/>
              <w:left w:val="nil"/>
              <w:bottom w:val="single" w:sz="8" w:space="0" w:color="auto"/>
              <w:right w:val="nil"/>
            </w:tcBorders>
            <w:shd w:val="clear" w:color="auto" w:fill="auto"/>
            <w:noWrap/>
            <w:vAlign w:val="center"/>
            <w:hideMark/>
          </w:tcPr>
          <w:p w14:paraId="4040EEFC" w14:textId="77777777" w:rsidR="00EC2E2E" w:rsidRPr="005732FC" w:rsidRDefault="00EC2E2E" w:rsidP="00EC2E2E">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0.00</w:t>
            </w:r>
          </w:p>
        </w:tc>
      </w:tr>
      <w:tr w:rsidR="00EC2E2E" w:rsidRPr="005732FC" w14:paraId="5947E528" w14:textId="77777777" w:rsidTr="008C77A6">
        <w:trPr>
          <w:trHeight w:val="20"/>
        </w:trPr>
        <w:tc>
          <w:tcPr>
            <w:tcW w:w="3852" w:type="dxa"/>
            <w:tcBorders>
              <w:top w:val="nil"/>
              <w:left w:val="nil"/>
              <w:bottom w:val="single" w:sz="8" w:space="0" w:color="auto"/>
              <w:right w:val="nil"/>
            </w:tcBorders>
            <w:shd w:val="clear" w:color="000000" w:fill="D9D9D9"/>
            <w:noWrap/>
            <w:vAlign w:val="center"/>
            <w:hideMark/>
          </w:tcPr>
          <w:p w14:paraId="75B6E08A" w14:textId="77777777" w:rsidR="00EC2E2E" w:rsidRPr="005732FC" w:rsidRDefault="00EC2E2E" w:rsidP="00EC2E2E">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654" w:type="dxa"/>
            <w:tcBorders>
              <w:top w:val="nil"/>
              <w:left w:val="nil"/>
              <w:bottom w:val="single" w:sz="8" w:space="0" w:color="auto"/>
              <w:right w:val="nil"/>
            </w:tcBorders>
            <w:shd w:val="clear" w:color="000000" w:fill="D9D9D9"/>
            <w:noWrap/>
            <w:vAlign w:val="center"/>
            <w:hideMark/>
          </w:tcPr>
          <w:p w14:paraId="03D0F2B1" w14:textId="77777777" w:rsidR="00EC2E2E" w:rsidRPr="005732FC" w:rsidRDefault="00EC2E2E" w:rsidP="00EC2E2E">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654" w:type="dxa"/>
            <w:tcBorders>
              <w:top w:val="nil"/>
              <w:left w:val="nil"/>
              <w:bottom w:val="single" w:sz="8" w:space="0" w:color="auto"/>
              <w:right w:val="nil"/>
            </w:tcBorders>
            <w:shd w:val="clear" w:color="000000" w:fill="D9D9D9"/>
            <w:noWrap/>
            <w:vAlign w:val="center"/>
            <w:hideMark/>
          </w:tcPr>
          <w:p w14:paraId="01FB1ACA" w14:textId="77777777" w:rsidR="00EC2E2E" w:rsidRPr="005732FC" w:rsidRDefault="00EC2E2E" w:rsidP="00EC2E2E">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211" w:type="dxa"/>
            <w:tcBorders>
              <w:top w:val="nil"/>
              <w:left w:val="nil"/>
              <w:bottom w:val="single" w:sz="8" w:space="0" w:color="auto"/>
              <w:right w:val="nil"/>
            </w:tcBorders>
            <w:shd w:val="clear" w:color="000000" w:fill="D9D9D9"/>
            <w:noWrap/>
            <w:vAlign w:val="center"/>
            <w:hideMark/>
          </w:tcPr>
          <w:p w14:paraId="193F6A7D" w14:textId="77777777" w:rsidR="00EC2E2E" w:rsidRPr="005732FC" w:rsidRDefault="00EC2E2E" w:rsidP="00EC2E2E">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0.00 </w:t>
            </w:r>
          </w:p>
        </w:tc>
        <w:tc>
          <w:tcPr>
            <w:tcW w:w="2268" w:type="dxa"/>
            <w:tcBorders>
              <w:top w:val="nil"/>
              <w:left w:val="nil"/>
              <w:bottom w:val="single" w:sz="8" w:space="0" w:color="auto"/>
              <w:right w:val="nil"/>
            </w:tcBorders>
            <w:shd w:val="clear" w:color="000000" w:fill="D9D9D9"/>
            <w:noWrap/>
            <w:vAlign w:val="center"/>
            <w:hideMark/>
          </w:tcPr>
          <w:p w14:paraId="30E4EC3E" w14:textId="77777777" w:rsidR="00EC2E2E" w:rsidRPr="005732FC" w:rsidRDefault="00EC2E2E" w:rsidP="00EC2E2E">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0.00</w:t>
            </w:r>
          </w:p>
        </w:tc>
      </w:tr>
    </w:tbl>
    <w:p w14:paraId="362F192E" w14:textId="77777777" w:rsidR="00EC2E2E" w:rsidRPr="005732FC" w:rsidRDefault="00EC2E2E" w:rsidP="00EC2E2E">
      <w:pPr>
        <w:spacing w:after="0"/>
        <w:jc w:val="both"/>
        <w:rPr>
          <w:rFonts w:ascii="Arial" w:hAnsi="Arial" w:cs="Arial"/>
          <w:sz w:val="20"/>
          <w:szCs w:val="20"/>
        </w:rPr>
      </w:pPr>
    </w:p>
    <w:p w14:paraId="47E5D7E5" w14:textId="77777777" w:rsidR="00EC2E2E" w:rsidRPr="005732FC" w:rsidRDefault="00EC2E2E" w:rsidP="00EC2E2E">
      <w:pPr>
        <w:spacing w:after="0"/>
        <w:jc w:val="both"/>
        <w:rPr>
          <w:rFonts w:ascii="Arial" w:hAnsi="Arial" w:cs="Arial"/>
          <w:sz w:val="20"/>
          <w:szCs w:val="20"/>
        </w:rPr>
      </w:pPr>
      <w:r w:rsidRPr="005732FC">
        <w:rPr>
          <w:rFonts w:ascii="Arial" w:hAnsi="Arial" w:cs="Arial"/>
          <w:sz w:val="20"/>
          <w:szCs w:val="20"/>
        </w:rPr>
        <w:t xml:space="preserve">Es importante señalar que en el ejercicio 2018 se dejó de utilizar la cuenta de “Almacén de Materiales y Suministros de Consumo,” derivado de que el sistema de armonización contable </w:t>
      </w:r>
      <w:proofErr w:type="spellStart"/>
      <w:r w:rsidRPr="005732FC">
        <w:rPr>
          <w:rFonts w:ascii="Arial" w:hAnsi="Arial" w:cs="Arial"/>
          <w:sz w:val="20"/>
          <w:szCs w:val="20"/>
        </w:rPr>
        <w:t>OperGob</w:t>
      </w:r>
      <w:proofErr w:type="spellEnd"/>
      <w:r w:rsidRPr="005732FC">
        <w:rPr>
          <w:rFonts w:ascii="Arial" w:hAnsi="Arial" w:cs="Arial"/>
          <w:sz w:val="20"/>
          <w:szCs w:val="20"/>
        </w:rPr>
        <w:t>, permite llevar el control de los inventarios relacionados con el capítulo 2000 mediante un módulo independiente al registro contable y toda vez que, en la operación normal del Municipio, la mayoría de los bienes consumibles se entregan directamente a las áreas ejecutoras, aunado a que la capacidad física del almacén municipal es reducida, se determinó que las afectaciones contables se hicieran directamente al resultado del ejercicio, sin afectar al almacén, utilizando el modelo de asientos contables emitida por el CONAC, en la fracción III 1.2 b) 1.2.8 Registro de Materiales y Suministros sin almacén del modelo de asientos contables.</w:t>
      </w:r>
      <w:r w:rsidRPr="005732FC">
        <w:rPr>
          <w:rFonts w:ascii="Arial" w:hAnsi="Arial" w:cs="Arial"/>
          <w:sz w:val="20"/>
          <w:szCs w:val="20"/>
        </w:rPr>
        <w:tab/>
      </w:r>
      <w:r w:rsidRPr="005732FC">
        <w:rPr>
          <w:rFonts w:ascii="Arial" w:hAnsi="Arial" w:cs="Arial"/>
          <w:sz w:val="20"/>
          <w:szCs w:val="20"/>
        </w:rPr>
        <w:tab/>
      </w:r>
    </w:p>
    <w:p w14:paraId="57985264" w14:textId="77777777" w:rsidR="00EC2E2E" w:rsidRPr="005732FC" w:rsidRDefault="00EC2E2E" w:rsidP="00C87B49">
      <w:pPr>
        <w:keepNext/>
        <w:keepLines/>
        <w:numPr>
          <w:ilvl w:val="0"/>
          <w:numId w:val="40"/>
        </w:numPr>
        <w:spacing w:before="40" w:after="0"/>
        <w:ind w:left="0" w:hanging="284"/>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sz w:val="20"/>
          <w:szCs w:val="20"/>
        </w:rPr>
        <w:lastRenderedPageBreak/>
        <w:t>Otros activos circulantes</w:t>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099DBD3E" w14:textId="77777777" w:rsidR="00EC2E2E" w:rsidRPr="005732FC" w:rsidRDefault="00EC2E2E" w:rsidP="00EC2E2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371B11E" w14:textId="77777777" w:rsidR="00EC2E2E" w:rsidRPr="005732FC" w:rsidRDefault="00EC2E2E" w:rsidP="00EC2E2E">
      <w:pPr>
        <w:spacing w:after="0"/>
        <w:jc w:val="both"/>
        <w:rPr>
          <w:rFonts w:ascii="Arial" w:hAnsi="Arial" w:cs="Arial"/>
          <w:sz w:val="20"/>
          <w:szCs w:val="20"/>
        </w:rPr>
      </w:pPr>
      <w:r w:rsidRPr="005732FC">
        <w:rPr>
          <w:rFonts w:ascii="Arial" w:hAnsi="Arial" w:cs="Arial"/>
          <w:sz w:val="20"/>
          <w:szCs w:val="20"/>
        </w:rPr>
        <w:t>Este rubro representa el monto de los valores y títulos de crédito que reflejan derechos parciales para afianzar o asegurar el cobro, en un plazo menor o igual a doce meses. Su saldo se integra al 30 de junio del 2025 como sigue:</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7088" w:type="dxa"/>
        <w:tblCellMar>
          <w:left w:w="70" w:type="dxa"/>
          <w:right w:w="70" w:type="dxa"/>
        </w:tblCellMar>
        <w:tblLook w:val="04A0" w:firstRow="1" w:lastRow="0" w:firstColumn="1" w:lastColumn="0" w:noHBand="0" w:noVBand="1"/>
      </w:tblPr>
      <w:tblGrid>
        <w:gridCol w:w="1489"/>
        <w:gridCol w:w="1411"/>
        <w:gridCol w:w="1920"/>
        <w:gridCol w:w="2268"/>
      </w:tblGrid>
      <w:tr w:rsidR="00EC2E2E" w:rsidRPr="005732FC" w14:paraId="3424D860" w14:textId="77777777" w:rsidTr="008C77A6">
        <w:trPr>
          <w:trHeight w:val="21"/>
          <w:tblHeader/>
        </w:trPr>
        <w:tc>
          <w:tcPr>
            <w:tcW w:w="1489" w:type="dxa"/>
            <w:tcBorders>
              <w:top w:val="single" w:sz="8" w:space="0" w:color="auto"/>
              <w:left w:val="nil"/>
              <w:bottom w:val="single" w:sz="8" w:space="0" w:color="auto"/>
              <w:right w:val="nil"/>
            </w:tcBorders>
            <w:shd w:val="clear" w:color="000000" w:fill="D9D9D9"/>
            <w:noWrap/>
            <w:vAlign w:val="center"/>
            <w:hideMark/>
          </w:tcPr>
          <w:p w14:paraId="3BA48B37" w14:textId="77777777" w:rsidR="00EC2E2E" w:rsidRPr="005732FC" w:rsidRDefault="00EC2E2E" w:rsidP="00EC2E2E">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1411" w:type="dxa"/>
            <w:tcBorders>
              <w:top w:val="single" w:sz="8" w:space="0" w:color="auto"/>
              <w:left w:val="nil"/>
              <w:bottom w:val="single" w:sz="8" w:space="0" w:color="auto"/>
              <w:right w:val="nil"/>
            </w:tcBorders>
            <w:shd w:val="clear" w:color="000000" w:fill="D9D9D9"/>
            <w:noWrap/>
            <w:vAlign w:val="center"/>
            <w:hideMark/>
          </w:tcPr>
          <w:p w14:paraId="327D831D" w14:textId="77777777" w:rsidR="00EC2E2E" w:rsidRPr="005732FC" w:rsidRDefault="00EC2E2E" w:rsidP="00EC2E2E">
            <w:pPr>
              <w:spacing w:after="0" w:line="240" w:lineRule="auto"/>
              <w:jc w:val="center"/>
              <w:rPr>
                <w:rFonts w:ascii="Arial" w:eastAsia="Times New Roman" w:hAnsi="Arial" w:cs="Arial"/>
                <w:b/>
                <w:bCs/>
                <w:color w:val="000000"/>
                <w:kern w:val="0"/>
                <w:sz w:val="20"/>
                <w:szCs w:val="20"/>
                <w:lang w:eastAsia="es-MX"/>
                <w14:ligatures w14:val="none"/>
              </w:rPr>
            </w:pPr>
          </w:p>
        </w:tc>
        <w:tc>
          <w:tcPr>
            <w:tcW w:w="1920" w:type="dxa"/>
            <w:tcBorders>
              <w:top w:val="single" w:sz="8" w:space="0" w:color="auto"/>
              <w:left w:val="nil"/>
              <w:bottom w:val="single" w:sz="8" w:space="0" w:color="auto"/>
              <w:right w:val="nil"/>
            </w:tcBorders>
            <w:shd w:val="clear" w:color="000000" w:fill="D9D9D9"/>
            <w:vAlign w:val="center"/>
            <w:hideMark/>
          </w:tcPr>
          <w:p w14:paraId="141BC9FA" w14:textId="77777777" w:rsidR="00EC2E2E" w:rsidRPr="005732FC" w:rsidRDefault="00EC2E2E" w:rsidP="00EC2E2E">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09203884" w14:textId="77777777" w:rsidR="00EC2E2E" w:rsidRPr="005732FC" w:rsidRDefault="00EC2E2E" w:rsidP="00EC2E2E">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EC2E2E" w:rsidRPr="005732FC" w14:paraId="2DADB3DC" w14:textId="77777777" w:rsidTr="008C77A6">
        <w:trPr>
          <w:trHeight w:val="21"/>
        </w:trPr>
        <w:tc>
          <w:tcPr>
            <w:tcW w:w="2900" w:type="dxa"/>
            <w:gridSpan w:val="2"/>
            <w:tcBorders>
              <w:top w:val="nil"/>
              <w:left w:val="nil"/>
              <w:bottom w:val="single" w:sz="8" w:space="0" w:color="auto"/>
              <w:right w:val="nil"/>
            </w:tcBorders>
            <w:shd w:val="clear" w:color="auto" w:fill="auto"/>
            <w:noWrap/>
            <w:vAlign w:val="center"/>
            <w:hideMark/>
          </w:tcPr>
          <w:p w14:paraId="048DAC1A" w14:textId="77777777" w:rsidR="00EC2E2E" w:rsidRPr="005732FC" w:rsidRDefault="00EC2E2E" w:rsidP="00EC2E2E">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Valores en Garantía </w:t>
            </w:r>
          </w:p>
        </w:tc>
        <w:tc>
          <w:tcPr>
            <w:tcW w:w="1920" w:type="dxa"/>
            <w:tcBorders>
              <w:top w:val="nil"/>
              <w:left w:val="nil"/>
              <w:bottom w:val="single" w:sz="8" w:space="0" w:color="auto"/>
              <w:right w:val="nil"/>
            </w:tcBorders>
            <w:shd w:val="clear" w:color="auto" w:fill="auto"/>
            <w:noWrap/>
            <w:vAlign w:val="center"/>
            <w:hideMark/>
          </w:tcPr>
          <w:p w14:paraId="4A101106" w14:textId="77777777" w:rsidR="00EC2E2E" w:rsidRPr="005732FC" w:rsidRDefault="00EC2E2E" w:rsidP="00EC2E2E">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745,516.32 </w:t>
            </w:r>
          </w:p>
        </w:tc>
        <w:tc>
          <w:tcPr>
            <w:tcW w:w="2268" w:type="dxa"/>
            <w:tcBorders>
              <w:top w:val="nil"/>
              <w:left w:val="nil"/>
              <w:bottom w:val="single" w:sz="8" w:space="0" w:color="auto"/>
              <w:right w:val="nil"/>
            </w:tcBorders>
            <w:shd w:val="clear" w:color="auto" w:fill="auto"/>
            <w:noWrap/>
            <w:vAlign w:val="center"/>
            <w:hideMark/>
          </w:tcPr>
          <w:p w14:paraId="6569FA21" w14:textId="77777777" w:rsidR="00EC2E2E" w:rsidRPr="005732FC" w:rsidRDefault="00EC2E2E" w:rsidP="00EC2E2E">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745,516.32 </w:t>
            </w:r>
          </w:p>
        </w:tc>
      </w:tr>
      <w:tr w:rsidR="00EC2E2E" w:rsidRPr="005732FC" w14:paraId="54CE02A7" w14:textId="77777777" w:rsidTr="008C77A6">
        <w:trPr>
          <w:trHeight w:val="21"/>
        </w:trPr>
        <w:tc>
          <w:tcPr>
            <w:tcW w:w="1489" w:type="dxa"/>
            <w:tcBorders>
              <w:top w:val="nil"/>
              <w:left w:val="nil"/>
              <w:bottom w:val="single" w:sz="8" w:space="0" w:color="auto"/>
              <w:right w:val="nil"/>
            </w:tcBorders>
            <w:shd w:val="clear" w:color="000000" w:fill="D9D9D9"/>
            <w:noWrap/>
            <w:vAlign w:val="center"/>
            <w:hideMark/>
          </w:tcPr>
          <w:p w14:paraId="7BD9B9AA" w14:textId="77777777" w:rsidR="00EC2E2E" w:rsidRPr="005732FC" w:rsidRDefault="00EC2E2E" w:rsidP="00EC2E2E">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1411" w:type="dxa"/>
            <w:tcBorders>
              <w:top w:val="nil"/>
              <w:left w:val="nil"/>
              <w:bottom w:val="single" w:sz="8" w:space="0" w:color="auto"/>
              <w:right w:val="nil"/>
            </w:tcBorders>
            <w:shd w:val="clear" w:color="000000" w:fill="D9D9D9"/>
            <w:noWrap/>
            <w:vAlign w:val="center"/>
            <w:hideMark/>
          </w:tcPr>
          <w:p w14:paraId="6AB4982E" w14:textId="77777777" w:rsidR="00EC2E2E" w:rsidRPr="005732FC" w:rsidRDefault="00EC2E2E" w:rsidP="00EC2E2E">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1920" w:type="dxa"/>
            <w:tcBorders>
              <w:top w:val="nil"/>
              <w:left w:val="nil"/>
              <w:bottom w:val="single" w:sz="8" w:space="0" w:color="auto"/>
              <w:right w:val="nil"/>
            </w:tcBorders>
            <w:shd w:val="clear" w:color="000000" w:fill="D9D9D9"/>
            <w:noWrap/>
            <w:vAlign w:val="center"/>
            <w:hideMark/>
          </w:tcPr>
          <w:p w14:paraId="2D3F0C6E" w14:textId="77777777" w:rsidR="00EC2E2E" w:rsidRPr="005732FC" w:rsidRDefault="00EC2E2E" w:rsidP="00EC2E2E">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745,516.32 </w:t>
            </w:r>
          </w:p>
        </w:tc>
        <w:tc>
          <w:tcPr>
            <w:tcW w:w="2268" w:type="dxa"/>
            <w:tcBorders>
              <w:top w:val="nil"/>
              <w:left w:val="nil"/>
              <w:bottom w:val="single" w:sz="8" w:space="0" w:color="auto"/>
              <w:right w:val="nil"/>
            </w:tcBorders>
            <w:shd w:val="clear" w:color="000000" w:fill="D9D9D9"/>
            <w:noWrap/>
            <w:vAlign w:val="center"/>
            <w:hideMark/>
          </w:tcPr>
          <w:p w14:paraId="66CCAB21" w14:textId="77777777" w:rsidR="00EC2E2E" w:rsidRPr="005732FC" w:rsidRDefault="00EC2E2E" w:rsidP="00EC2E2E">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745,516.32 </w:t>
            </w:r>
          </w:p>
        </w:tc>
      </w:tr>
    </w:tbl>
    <w:p w14:paraId="7FBB0F9A" w14:textId="5B65D901" w:rsidR="00BA3347" w:rsidRPr="005732FC" w:rsidRDefault="00EC2E2E" w:rsidP="005D2B3E">
      <w:pPr>
        <w:spacing w:after="0"/>
        <w:jc w:val="both"/>
        <w:rPr>
          <w:rFonts w:ascii="Arial" w:hAnsi="Arial" w:cs="Arial"/>
          <w:sz w:val="20"/>
          <w:szCs w:val="20"/>
        </w:rPr>
      </w:pPr>
      <w:r w:rsidRPr="005732FC">
        <w:rPr>
          <w:rFonts w:ascii="Arial" w:hAnsi="Arial" w:cs="Arial"/>
          <w:sz w:val="20"/>
          <w:szCs w:val="20"/>
        </w:rPr>
        <w:tab/>
      </w:r>
      <w:r w:rsidR="00874C8E" w:rsidRPr="005732FC">
        <w:rPr>
          <w:rFonts w:ascii="Arial" w:hAnsi="Arial" w:cs="Arial"/>
          <w:sz w:val="20"/>
          <w:szCs w:val="20"/>
        </w:rPr>
        <w:tab/>
      </w:r>
      <w:r w:rsidR="00874C8E" w:rsidRPr="005732FC">
        <w:rPr>
          <w:rFonts w:ascii="Arial" w:hAnsi="Arial" w:cs="Arial"/>
          <w:sz w:val="20"/>
          <w:szCs w:val="20"/>
        </w:rPr>
        <w:tab/>
      </w:r>
      <w:r w:rsidR="00874C8E" w:rsidRPr="005732FC">
        <w:rPr>
          <w:rFonts w:ascii="Arial" w:hAnsi="Arial" w:cs="Arial"/>
          <w:sz w:val="20"/>
          <w:szCs w:val="20"/>
        </w:rPr>
        <w:tab/>
      </w:r>
      <w:r w:rsidR="00874C8E" w:rsidRPr="005732FC">
        <w:rPr>
          <w:rFonts w:ascii="Arial" w:hAnsi="Arial" w:cs="Arial"/>
          <w:sz w:val="20"/>
          <w:szCs w:val="20"/>
        </w:rPr>
        <w:tab/>
      </w:r>
      <w:r w:rsidR="00874C8E" w:rsidRPr="005732FC">
        <w:rPr>
          <w:rFonts w:ascii="Arial" w:hAnsi="Arial" w:cs="Arial"/>
          <w:sz w:val="20"/>
          <w:szCs w:val="20"/>
        </w:rPr>
        <w:tab/>
      </w:r>
      <w:r w:rsidR="00874C8E" w:rsidRPr="005732FC">
        <w:rPr>
          <w:rFonts w:ascii="Arial" w:hAnsi="Arial" w:cs="Arial"/>
          <w:sz w:val="20"/>
          <w:szCs w:val="20"/>
        </w:rPr>
        <w:tab/>
      </w:r>
      <w:r w:rsidR="00874C8E" w:rsidRPr="005732FC">
        <w:rPr>
          <w:rFonts w:ascii="Arial" w:hAnsi="Arial" w:cs="Arial"/>
          <w:sz w:val="20"/>
          <w:szCs w:val="20"/>
        </w:rPr>
        <w:tab/>
      </w:r>
    </w:p>
    <w:p w14:paraId="4652746A" w14:textId="0BFE4482" w:rsidR="00BA3347" w:rsidRPr="005732FC" w:rsidRDefault="00BA3347" w:rsidP="00C87B49">
      <w:pPr>
        <w:pStyle w:val="Ttulo2"/>
        <w:numPr>
          <w:ilvl w:val="0"/>
          <w:numId w:val="40"/>
        </w:numPr>
        <w:ind w:left="0" w:hanging="284"/>
        <w:rPr>
          <w:rFonts w:ascii="Arial" w:hAnsi="Arial" w:cs="Arial"/>
          <w:b/>
          <w:bCs/>
          <w:sz w:val="20"/>
          <w:szCs w:val="20"/>
        </w:rPr>
      </w:pPr>
      <w:r w:rsidRPr="005732FC">
        <w:rPr>
          <w:rFonts w:ascii="Arial" w:hAnsi="Arial" w:cs="Arial"/>
          <w:b/>
          <w:bCs/>
          <w:color w:val="auto"/>
          <w:sz w:val="20"/>
          <w:szCs w:val="20"/>
        </w:rPr>
        <w:t>Inversiones financieras a largo plazo</w:t>
      </w:r>
      <w:r w:rsidRPr="005732FC">
        <w:rPr>
          <w:rFonts w:ascii="Arial" w:hAnsi="Arial" w:cs="Arial"/>
          <w:b/>
          <w:bCs/>
          <w:color w:val="auto"/>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6448EEE2"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162F7E3" w14:textId="6D42ED1A" w:rsidR="003E16C6" w:rsidRPr="005732FC" w:rsidRDefault="003E16C6" w:rsidP="003E16C6">
      <w:pPr>
        <w:spacing w:after="0"/>
        <w:jc w:val="both"/>
        <w:rPr>
          <w:rFonts w:ascii="Arial" w:hAnsi="Arial" w:cs="Arial"/>
          <w:sz w:val="20"/>
          <w:szCs w:val="20"/>
        </w:rPr>
      </w:pPr>
      <w:r w:rsidRPr="005732FC">
        <w:rPr>
          <w:rFonts w:ascii="Arial" w:hAnsi="Arial" w:cs="Arial"/>
          <w:sz w:val="20"/>
          <w:szCs w:val="20"/>
        </w:rPr>
        <w:t>La cuenta de inversiones financieras a largo plazo se integra al 30 de junio del 2025 como sigue:</w:t>
      </w:r>
    </w:p>
    <w:p w14:paraId="5CCCA79D" w14:textId="77777777" w:rsidR="003E16C6" w:rsidRPr="005732FC" w:rsidRDefault="003E16C6" w:rsidP="003E16C6">
      <w:pPr>
        <w:spacing w:after="0"/>
        <w:jc w:val="both"/>
        <w:rPr>
          <w:rFonts w:ascii="Arial" w:hAnsi="Arial" w:cs="Arial"/>
          <w:sz w:val="20"/>
          <w:szCs w:val="20"/>
        </w:rPr>
      </w:pPr>
    </w:p>
    <w:tbl>
      <w:tblPr>
        <w:tblW w:w="8080" w:type="dxa"/>
        <w:tblCellMar>
          <w:left w:w="70" w:type="dxa"/>
          <w:right w:w="70" w:type="dxa"/>
        </w:tblCellMar>
        <w:tblLook w:val="04A0" w:firstRow="1" w:lastRow="0" w:firstColumn="1" w:lastColumn="0" w:noHBand="0" w:noVBand="1"/>
      </w:tblPr>
      <w:tblGrid>
        <w:gridCol w:w="2925"/>
        <w:gridCol w:w="903"/>
        <w:gridCol w:w="1984"/>
        <w:gridCol w:w="2268"/>
      </w:tblGrid>
      <w:tr w:rsidR="003E16C6" w:rsidRPr="005732FC" w14:paraId="47CC88EE" w14:textId="77777777" w:rsidTr="008C77A6">
        <w:trPr>
          <w:trHeight w:val="20"/>
          <w:tblHeader/>
        </w:trPr>
        <w:tc>
          <w:tcPr>
            <w:tcW w:w="3828" w:type="dxa"/>
            <w:gridSpan w:val="2"/>
            <w:tcBorders>
              <w:top w:val="single" w:sz="8" w:space="0" w:color="auto"/>
              <w:left w:val="nil"/>
              <w:bottom w:val="single" w:sz="8" w:space="0" w:color="auto"/>
              <w:right w:val="nil"/>
            </w:tcBorders>
            <w:shd w:val="clear" w:color="000000" w:fill="D9D9D9"/>
            <w:noWrap/>
            <w:vAlign w:val="center"/>
            <w:hideMark/>
          </w:tcPr>
          <w:p w14:paraId="32471E4F" w14:textId="77777777" w:rsidR="003E16C6" w:rsidRPr="005732FC" w:rsidRDefault="003E16C6"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hAnsi="Arial" w:cs="Arial"/>
                <w:sz w:val="20"/>
                <w:szCs w:val="20"/>
              </w:rPr>
              <w:tab/>
            </w:r>
            <w:r w:rsidRPr="005732FC">
              <w:rPr>
                <w:rFonts w:ascii="Arial" w:eastAsia="Times New Roman" w:hAnsi="Arial" w:cs="Arial"/>
                <w:b/>
                <w:bCs/>
                <w:color w:val="000000"/>
                <w:kern w:val="0"/>
                <w:sz w:val="20"/>
                <w:szCs w:val="20"/>
                <w:lang w:eastAsia="es-MX"/>
                <w14:ligatures w14:val="none"/>
              </w:rPr>
              <w:t>Concepto</w:t>
            </w:r>
          </w:p>
        </w:tc>
        <w:tc>
          <w:tcPr>
            <w:tcW w:w="1984" w:type="dxa"/>
            <w:tcBorders>
              <w:top w:val="single" w:sz="8" w:space="0" w:color="auto"/>
              <w:left w:val="nil"/>
              <w:bottom w:val="single" w:sz="8" w:space="0" w:color="auto"/>
              <w:right w:val="nil"/>
            </w:tcBorders>
            <w:shd w:val="clear" w:color="000000" w:fill="D9D9D9"/>
            <w:vAlign w:val="center"/>
            <w:hideMark/>
          </w:tcPr>
          <w:p w14:paraId="6D62823B" w14:textId="77777777" w:rsidR="003E16C6" w:rsidRPr="005732FC" w:rsidRDefault="003E16C6"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772B00D9" w14:textId="77777777" w:rsidR="003E16C6" w:rsidRPr="005732FC" w:rsidRDefault="003E16C6"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3E16C6" w:rsidRPr="005732FC" w14:paraId="616B996F" w14:textId="77777777" w:rsidTr="008C77A6">
        <w:trPr>
          <w:trHeight w:val="20"/>
        </w:trPr>
        <w:tc>
          <w:tcPr>
            <w:tcW w:w="3828" w:type="dxa"/>
            <w:gridSpan w:val="2"/>
            <w:tcBorders>
              <w:top w:val="single" w:sz="8" w:space="0" w:color="auto"/>
              <w:left w:val="nil"/>
              <w:bottom w:val="single" w:sz="8" w:space="0" w:color="auto"/>
              <w:right w:val="nil"/>
            </w:tcBorders>
            <w:shd w:val="clear" w:color="auto" w:fill="auto"/>
            <w:vAlign w:val="center"/>
            <w:hideMark/>
          </w:tcPr>
          <w:p w14:paraId="0CADF54B" w14:textId="77777777" w:rsidR="003E16C6" w:rsidRPr="005732FC" w:rsidRDefault="003E16C6"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Participaciones y aportaciones de capital</w:t>
            </w:r>
          </w:p>
        </w:tc>
        <w:tc>
          <w:tcPr>
            <w:tcW w:w="1984" w:type="dxa"/>
            <w:tcBorders>
              <w:top w:val="nil"/>
              <w:left w:val="nil"/>
              <w:bottom w:val="single" w:sz="8" w:space="0" w:color="auto"/>
              <w:right w:val="nil"/>
            </w:tcBorders>
            <w:shd w:val="clear" w:color="auto" w:fill="auto"/>
            <w:noWrap/>
            <w:vAlign w:val="center"/>
            <w:hideMark/>
          </w:tcPr>
          <w:p w14:paraId="08A80821" w14:textId="77777777" w:rsidR="003E16C6" w:rsidRPr="005732FC" w:rsidRDefault="003E16C6"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17,642,190.00</w:t>
            </w:r>
          </w:p>
        </w:tc>
        <w:tc>
          <w:tcPr>
            <w:tcW w:w="2268" w:type="dxa"/>
            <w:tcBorders>
              <w:top w:val="nil"/>
              <w:left w:val="nil"/>
              <w:bottom w:val="single" w:sz="8" w:space="0" w:color="auto"/>
              <w:right w:val="nil"/>
            </w:tcBorders>
            <w:shd w:val="clear" w:color="auto" w:fill="auto"/>
            <w:noWrap/>
            <w:vAlign w:val="center"/>
            <w:hideMark/>
          </w:tcPr>
          <w:p w14:paraId="314C9136" w14:textId="77777777" w:rsidR="003E16C6" w:rsidRPr="005732FC" w:rsidRDefault="003E16C6"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17,642,190.00 </w:t>
            </w:r>
          </w:p>
        </w:tc>
      </w:tr>
      <w:tr w:rsidR="003E16C6" w:rsidRPr="005732FC" w14:paraId="68ADC43D" w14:textId="77777777" w:rsidTr="008C77A6">
        <w:trPr>
          <w:trHeight w:val="20"/>
        </w:trPr>
        <w:tc>
          <w:tcPr>
            <w:tcW w:w="2925" w:type="dxa"/>
            <w:tcBorders>
              <w:top w:val="nil"/>
              <w:left w:val="nil"/>
              <w:bottom w:val="single" w:sz="8" w:space="0" w:color="auto"/>
              <w:right w:val="nil"/>
            </w:tcBorders>
            <w:shd w:val="clear" w:color="000000" w:fill="D9D9D9"/>
            <w:noWrap/>
            <w:vAlign w:val="center"/>
            <w:hideMark/>
          </w:tcPr>
          <w:p w14:paraId="77EA28D6" w14:textId="77777777" w:rsidR="003E16C6" w:rsidRPr="005732FC" w:rsidRDefault="003E16C6"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903" w:type="dxa"/>
            <w:tcBorders>
              <w:top w:val="nil"/>
              <w:left w:val="nil"/>
              <w:bottom w:val="single" w:sz="8" w:space="0" w:color="auto"/>
              <w:right w:val="nil"/>
            </w:tcBorders>
            <w:shd w:val="clear" w:color="000000" w:fill="D9D9D9"/>
            <w:noWrap/>
            <w:vAlign w:val="center"/>
            <w:hideMark/>
          </w:tcPr>
          <w:p w14:paraId="6D2DA10F" w14:textId="77777777" w:rsidR="003E16C6" w:rsidRPr="005732FC" w:rsidRDefault="003E16C6"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1984" w:type="dxa"/>
            <w:tcBorders>
              <w:top w:val="nil"/>
              <w:left w:val="nil"/>
              <w:bottom w:val="single" w:sz="8" w:space="0" w:color="auto"/>
              <w:right w:val="nil"/>
            </w:tcBorders>
            <w:shd w:val="clear" w:color="000000" w:fill="D9D9D9"/>
            <w:noWrap/>
            <w:vAlign w:val="center"/>
            <w:hideMark/>
          </w:tcPr>
          <w:p w14:paraId="0A88BE74" w14:textId="77777777" w:rsidR="003E16C6" w:rsidRPr="005732FC" w:rsidRDefault="003E16C6"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17,642,190.00</w:t>
            </w:r>
          </w:p>
        </w:tc>
        <w:tc>
          <w:tcPr>
            <w:tcW w:w="2268" w:type="dxa"/>
            <w:tcBorders>
              <w:top w:val="nil"/>
              <w:left w:val="nil"/>
              <w:bottom w:val="single" w:sz="8" w:space="0" w:color="auto"/>
              <w:right w:val="nil"/>
            </w:tcBorders>
            <w:shd w:val="clear" w:color="000000" w:fill="D9D9D9"/>
            <w:noWrap/>
            <w:vAlign w:val="center"/>
            <w:hideMark/>
          </w:tcPr>
          <w:p w14:paraId="3AFF2150" w14:textId="77777777" w:rsidR="003E16C6" w:rsidRPr="005732FC" w:rsidRDefault="003E16C6"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17,642,190.00</w:t>
            </w:r>
          </w:p>
        </w:tc>
      </w:tr>
    </w:tbl>
    <w:p w14:paraId="6D2FDEE6" w14:textId="1AE229D6" w:rsidR="00BA3347" w:rsidRPr="005732FC" w:rsidRDefault="00BA3347" w:rsidP="005D2B3E">
      <w:pPr>
        <w:spacing w:after="0"/>
        <w:jc w:val="both"/>
        <w:rPr>
          <w:rFonts w:ascii="Arial" w:hAnsi="Arial" w:cs="Arial"/>
          <w:sz w:val="20"/>
          <w:szCs w:val="20"/>
        </w:rPr>
      </w:pPr>
    </w:p>
    <w:p w14:paraId="128D67ED" w14:textId="77777777" w:rsidR="00606D2B" w:rsidRPr="005732FC" w:rsidRDefault="00606D2B" w:rsidP="00C87B49">
      <w:pPr>
        <w:keepNext/>
        <w:keepLines/>
        <w:numPr>
          <w:ilvl w:val="0"/>
          <w:numId w:val="40"/>
        </w:numPr>
        <w:spacing w:before="40" w:after="0"/>
        <w:ind w:left="0" w:hanging="284"/>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sz w:val="20"/>
          <w:szCs w:val="20"/>
        </w:rPr>
        <w:t>Derechos a recibir efectivo o equivalentes a largo plazo</w:t>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55D8A5CB" w14:textId="77777777" w:rsidR="00606D2B" w:rsidRPr="005732FC" w:rsidRDefault="00606D2B" w:rsidP="00606D2B">
      <w:pPr>
        <w:spacing w:after="0"/>
        <w:jc w:val="both"/>
        <w:rPr>
          <w:rFonts w:ascii="Arial" w:hAnsi="Arial" w:cs="Arial"/>
          <w:sz w:val="20"/>
          <w:szCs w:val="20"/>
        </w:rPr>
      </w:pPr>
    </w:p>
    <w:p w14:paraId="735D4D83" w14:textId="77777777" w:rsidR="00606D2B" w:rsidRPr="005732FC" w:rsidRDefault="00606D2B" w:rsidP="00606D2B">
      <w:pPr>
        <w:spacing w:after="0"/>
        <w:jc w:val="both"/>
        <w:rPr>
          <w:rFonts w:ascii="Arial" w:hAnsi="Arial" w:cs="Arial"/>
          <w:sz w:val="20"/>
          <w:szCs w:val="20"/>
        </w:rPr>
      </w:pPr>
      <w:r w:rsidRPr="005732FC">
        <w:rPr>
          <w:rFonts w:ascii="Arial" w:hAnsi="Arial" w:cs="Arial"/>
          <w:sz w:val="20"/>
          <w:szCs w:val="20"/>
        </w:rPr>
        <w:t>La cuenta de efectivo o equivalentes a largo plazo se integra al 30 de junio del 2025 como sigue:</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D738297" w14:textId="77777777" w:rsidR="00606D2B" w:rsidRPr="005732FC" w:rsidRDefault="00606D2B" w:rsidP="00606D2B">
      <w:pPr>
        <w:spacing w:after="0"/>
        <w:jc w:val="both"/>
        <w:rPr>
          <w:rFonts w:ascii="Arial" w:hAnsi="Arial" w:cs="Arial"/>
          <w:sz w:val="20"/>
          <w:szCs w:val="20"/>
        </w:rPr>
      </w:pPr>
    </w:p>
    <w:tbl>
      <w:tblPr>
        <w:tblW w:w="8789" w:type="dxa"/>
        <w:tblCellMar>
          <w:left w:w="70" w:type="dxa"/>
          <w:right w:w="70" w:type="dxa"/>
        </w:tblCellMar>
        <w:tblLook w:val="04A0" w:firstRow="1" w:lastRow="0" w:firstColumn="1" w:lastColumn="0" w:noHBand="0" w:noVBand="1"/>
      </w:tblPr>
      <w:tblGrid>
        <w:gridCol w:w="4536"/>
        <w:gridCol w:w="1985"/>
        <w:gridCol w:w="2268"/>
      </w:tblGrid>
      <w:tr w:rsidR="00606D2B" w:rsidRPr="005732FC" w14:paraId="58ED9F3E" w14:textId="77777777" w:rsidTr="008C77A6">
        <w:trPr>
          <w:trHeight w:val="244"/>
          <w:tblHeader/>
        </w:trPr>
        <w:tc>
          <w:tcPr>
            <w:tcW w:w="4536" w:type="dxa"/>
            <w:tcBorders>
              <w:top w:val="single" w:sz="8" w:space="0" w:color="auto"/>
              <w:left w:val="nil"/>
              <w:bottom w:val="single" w:sz="8" w:space="0" w:color="auto"/>
              <w:right w:val="nil"/>
            </w:tcBorders>
            <w:shd w:val="clear" w:color="000000" w:fill="D9D9D9"/>
            <w:noWrap/>
            <w:vAlign w:val="center"/>
            <w:hideMark/>
          </w:tcPr>
          <w:p w14:paraId="3365B931" w14:textId="77777777" w:rsidR="00606D2B" w:rsidRPr="005732FC" w:rsidRDefault="00606D2B" w:rsidP="00606D2B">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1985" w:type="dxa"/>
            <w:tcBorders>
              <w:top w:val="single" w:sz="8" w:space="0" w:color="auto"/>
              <w:left w:val="nil"/>
              <w:bottom w:val="single" w:sz="8" w:space="0" w:color="auto"/>
              <w:right w:val="nil"/>
            </w:tcBorders>
            <w:shd w:val="clear" w:color="000000" w:fill="D9D9D9"/>
            <w:vAlign w:val="center"/>
            <w:hideMark/>
          </w:tcPr>
          <w:p w14:paraId="607E5A93" w14:textId="77777777" w:rsidR="00606D2B" w:rsidRPr="005732FC" w:rsidRDefault="00606D2B" w:rsidP="00606D2B">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6A65A812" w14:textId="77777777" w:rsidR="00606D2B" w:rsidRPr="005732FC" w:rsidRDefault="00606D2B" w:rsidP="00606D2B">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606D2B" w:rsidRPr="005732FC" w14:paraId="66B77564" w14:textId="77777777" w:rsidTr="008C77A6">
        <w:trPr>
          <w:trHeight w:val="255"/>
        </w:trPr>
        <w:tc>
          <w:tcPr>
            <w:tcW w:w="4536" w:type="dxa"/>
            <w:tcBorders>
              <w:top w:val="nil"/>
              <w:left w:val="nil"/>
              <w:bottom w:val="nil"/>
              <w:right w:val="nil"/>
            </w:tcBorders>
            <w:shd w:val="clear" w:color="auto" w:fill="auto"/>
            <w:noWrap/>
            <w:vAlign w:val="center"/>
            <w:hideMark/>
          </w:tcPr>
          <w:p w14:paraId="2F02EC29" w14:textId="77777777" w:rsidR="00606D2B" w:rsidRPr="005732FC" w:rsidRDefault="00606D2B" w:rsidP="00606D2B">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Documentos por cobrar a largo plazo  </w:t>
            </w:r>
          </w:p>
        </w:tc>
        <w:tc>
          <w:tcPr>
            <w:tcW w:w="1985" w:type="dxa"/>
            <w:tcBorders>
              <w:top w:val="nil"/>
              <w:left w:val="nil"/>
              <w:bottom w:val="nil"/>
              <w:right w:val="nil"/>
            </w:tcBorders>
            <w:shd w:val="clear" w:color="auto" w:fill="auto"/>
            <w:noWrap/>
            <w:vAlign w:val="center"/>
            <w:hideMark/>
          </w:tcPr>
          <w:p w14:paraId="1E2AA42F" w14:textId="77777777" w:rsidR="00606D2B" w:rsidRPr="005732FC" w:rsidRDefault="00606D2B" w:rsidP="00606D2B">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13,508,471.18</w:t>
            </w:r>
          </w:p>
        </w:tc>
        <w:tc>
          <w:tcPr>
            <w:tcW w:w="2268" w:type="dxa"/>
            <w:tcBorders>
              <w:top w:val="nil"/>
              <w:left w:val="nil"/>
              <w:bottom w:val="nil"/>
              <w:right w:val="nil"/>
            </w:tcBorders>
            <w:shd w:val="clear" w:color="auto" w:fill="auto"/>
            <w:noWrap/>
            <w:vAlign w:val="center"/>
            <w:hideMark/>
          </w:tcPr>
          <w:p w14:paraId="64E956E5" w14:textId="77777777" w:rsidR="00606D2B" w:rsidRPr="005732FC" w:rsidRDefault="00606D2B" w:rsidP="00606D2B">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13,508,471.18</w:t>
            </w:r>
          </w:p>
        </w:tc>
      </w:tr>
      <w:tr w:rsidR="00606D2B" w:rsidRPr="005732FC" w14:paraId="71FE1630" w14:textId="77777777" w:rsidTr="008C77A6">
        <w:trPr>
          <w:trHeight w:val="270"/>
        </w:trPr>
        <w:tc>
          <w:tcPr>
            <w:tcW w:w="4536" w:type="dxa"/>
            <w:tcBorders>
              <w:top w:val="nil"/>
              <w:left w:val="nil"/>
              <w:bottom w:val="single" w:sz="4" w:space="0" w:color="auto"/>
              <w:right w:val="nil"/>
            </w:tcBorders>
            <w:shd w:val="clear" w:color="auto" w:fill="auto"/>
            <w:noWrap/>
            <w:vAlign w:val="center"/>
            <w:hideMark/>
          </w:tcPr>
          <w:p w14:paraId="271F743E" w14:textId="77777777" w:rsidR="00606D2B" w:rsidRPr="005732FC" w:rsidRDefault="00606D2B" w:rsidP="00606D2B">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Otros derechos a recibir efectivo o equivalentes</w:t>
            </w:r>
          </w:p>
        </w:tc>
        <w:tc>
          <w:tcPr>
            <w:tcW w:w="1985" w:type="dxa"/>
            <w:tcBorders>
              <w:top w:val="nil"/>
              <w:left w:val="nil"/>
              <w:bottom w:val="single" w:sz="4" w:space="0" w:color="auto"/>
              <w:right w:val="nil"/>
            </w:tcBorders>
            <w:shd w:val="clear" w:color="auto" w:fill="auto"/>
            <w:noWrap/>
            <w:vAlign w:val="center"/>
            <w:hideMark/>
          </w:tcPr>
          <w:p w14:paraId="7CBB2C1C" w14:textId="77777777" w:rsidR="00606D2B" w:rsidRPr="005732FC" w:rsidRDefault="00606D2B" w:rsidP="00606D2B">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330,861.00</w:t>
            </w:r>
          </w:p>
        </w:tc>
        <w:tc>
          <w:tcPr>
            <w:tcW w:w="2268" w:type="dxa"/>
            <w:tcBorders>
              <w:top w:val="nil"/>
              <w:left w:val="nil"/>
              <w:bottom w:val="single" w:sz="4" w:space="0" w:color="auto"/>
              <w:right w:val="nil"/>
            </w:tcBorders>
            <w:shd w:val="clear" w:color="auto" w:fill="auto"/>
            <w:noWrap/>
            <w:vAlign w:val="center"/>
            <w:hideMark/>
          </w:tcPr>
          <w:p w14:paraId="33983A37" w14:textId="77777777" w:rsidR="00606D2B" w:rsidRPr="005732FC" w:rsidRDefault="00606D2B" w:rsidP="00606D2B">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330,861.00</w:t>
            </w:r>
          </w:p>
        </w:tc>
      </w:tr>
      <w:tr w:rsidR="00606D2B" w:rsidRPr="005732FC" w14:paraId="7E4B869D" w14:textId="77777777" w:rsidTr="008C77A6">
        <w:trPr>
          <w:trHeight w:val="270"/>
        </w:trPr>
        <w:tc>
          <w:tcPr>
            <w:tcW w:w="4536" w:type="dxa"/>
            <w:tcBorders>
              <w:top w:val="single" w:sz="4" w:space="0" w:color="auto"/>
              <w:left w:val="nil"/>
              <w:bottom w:val="single" w:sz="8" w:space="0" w:color="auto"/>
              <w:right w:val="nil"/>
            </w:tcBorders>
            <w:shd w:val="clear" w:color="000000" w:fill="D9D9D9"/>
            <w:noWrap/>
            <w:vAlign w:val="center"/>
            <w:hideMark/>
          </w:tcPr>
          <w:p w14:paraId="3BA610D8" w14:textId="77777777" w:rsidR="00606D2B" w:rsidRPr="005732FC" w:rsidRDefault="00606D2B" w:rsidP="00606D2B">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1985" w:type="dxa"/>
            <w:tcBorders>
              <w:top w:val="single" w:sz="4" w:space="0" w:color="auto"/>
              <w:left w:val="nil"/>
              <w:bottom w:val="single" w:sz="8" w:space="0" w:color="auto"/>
              <w:right w:val="nil"/>
            </w:tcBorders>
            <w:shd w:val="clear" w:color="000000" w:fill="D9D9D9"/>
            <w:noWrap/>
            <w:vAlign w:val="center"/>
            <w:hideMark/>
          </w:tcPr>
          <w:p w14:paraId="6CE10D67" w14:textId="77777777" w:rsidR="00606D2B" w:rsidRPr="005732FC" w:rsidRDefault="00606D2B" w:rsidP="00606D2B">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13,839,332.18</w:t>
            </w:r>
          </w:p>
        </w:tc>
        <w:tc>
          <w:tcPr>
            <w:tcW w:w="2268" w:type="dxa"/>
            <w:tcBorders>
              <w:top w:val="single" w:sz="4" w:space="0" w:color="auto"/>
              <w:left w:val="nil"/>
              <w:bottom w:val="single" w:sz="8" w:space="0" w:color="auto"/>
              <w:right w:val="nil"/>
            </w:tcBorders>
            <w:shd w:val="clear" w:color="000000" w:fill="D9D9D9"/>
            <w:noWrap/>
            <w:vAlign w:val="center"/>
            <w:hideMark/>
          </w:tcPr>
          <w:p w14:paraId="10CC0795" w14:textId="77777777" w:rsidR="00606D2B" w:rsidRPr="005732FC" w:rsidRDefault="00606D2B" w:rsidP="00606D2B">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13,839,332.18</w:t>
            </w:r>
          </w:p>
        </w:tc>
      </w:tr>
    </w:tbl>
    <w:p w14:paraId="32782AAC" w14:textId="77777777" w:rsidR="00606D2B" w:rsidRPr="005732FC" w:rsidRDefault="00606D2B" w:rsidP="00606D2B">
      <w:pPr>
        <w:spacing w:after="0"/>
        <w:jc w:val="both"/>
        <w:rPr>
          <w:rFonts w:ascii="Arial" w:hAnsi="Arial" w:cs="Arial"/>
          <w:sz w:val="20"/>
          <w:szCs w:val="20"/>
        </w:rPr>
      </w:pPr>
    </w:p>
    <w:p w14:paraId="36F20A15" w14:textId="4709E937" w:rsidR="00BA3347" w:rsidRPr="005732FC" w:rsidRDefault="00606D2B" w:rsidP="00606D2B">
      <w:pPr>
        <w:spacing w:after="0"/>
        <w:jc w:val="both"/>
        <w:rPr>
          <w:rFonts w:ascii="Arial" w:hAnsi="Arial" w:cs="Arial"/>
          <w:sz w:val="20"/>
          <w:szCs w:val="20"/>
        </w:rPr>
      </w:pPr>
      <w:r w:rsidRPr="005732FC">
        <w:rPr>
          <w:rFonts w:ascii="Arial" w:hAnsi="Arial" w:cs="Arial"/>
          <w:sz w:val="20"/>
          <w:szCs w:val="20"/>
        </w:rPr>
        <w:t xml:space="preserve">El saldo de la cuenta de documentos por cobrar a largo plazo con un importe de $13,508,471.18 proviene de ejercicios anteriores a 2006 por programas de apoyo de vivienda como FONHAPO, PRONASOL, la desincorporación del mercado 23, mercado 28, mercado Garibaldi, mercado independencia y por créditos de apoyo a vivienda de trabajadores del Municipio de Benito Juárez. Es importante señalar que no es posible integrarla y/o identificarla debido a la antigüedad de los saldos y por la imposibilidad técnica de </w:t>
      </w:r>
      <w:proofErr w:type="spellStart"/>
      <w:r w:rsidRPr="005732FC">
        <w:rPr>
          <w:rFonts w:ascii="Arial" w:hAnsi="Arial" w:cs="Arial"/>
          <w:sz w:val="20"/>
          <w:szCs w:val="20"/>
        </w:rPr>
        <w:t>accesar</w:t>
      </w:r>
      <w:proofErr w:type="spellEnd"/>
      <w:r w:rsidRPr="005732FC">
        <w:rPr>
          <w:rFonts w:ascii="Arial" w:hAnsi="Arial" w:cs="Arial"/>
          <w:sz w:val="20"/>
          <w:szCs w:val="20"/>
        </w:rPr>
        <w:t xml:space="preserve"> a la información a consecuencia de la obsolescencia del equipo donde se encuentra alojado el programa contable, por lo que se está revisando y analizando por las áreas competentes para su posible reclasificación contra ejercicios anteriores.</w:t>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r w:rsidR="00BA3347" w:rsidRPr="005732FC">
        <w:rPr>
          <w:rFonts w:ascii="Arial" w:hAnsi="Arial" w:cs="Arial"/>
          <w:sz w:val="20"/>
          <w:szCs w:val="20"/>
        </w:rPr>
        <w:tab/>
      </w:r>
    </w:p>
    <w:p w14:paraId="7E798FC8"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88DE8CA" w14:textId="7ACE17FD" w:rsidR="00BA3347" w:rsidRPr="005732FC" w:rsidRDefault="00BA3347" w:rsidP="00C87B49">
      <w:pPr>
        <w:pStyle w:val="Ttulo2"/>
        <w:numPr>
          <w:ilvl w:val="0"/>
          <w:numId w:val="40"/>
        </w:numPr>
        <w:ind w:left="0" w:hanging="284"/>
        <w:rPr>
          <w:rFonts w:ascii="Arial" w:hAnsi="Arial" w:cs="Arial"/>
          <w:b/>
          <w:bCs/>
          <w:sz w:val="20"/>
          <w:szCs w:val="20"/>
        </w:rPr>
      </w:pPr>
      <w:r w:rsidRPr="005732FC">
        <w:rPr>
          <w:rFonts w:ascii="Arial" w:hAnsi="Arial" w:cs="Arial"/>
          <w:b/>
          <w:bCs/>
          <w:color w:val="auto"/>
          <w:sz w:val="20"/>
          <w:szCs w:val="20"/>
        </w:rPr>
        <w:t>Bienes inmuebles, infraestructura y construcciones en proceso</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17284E0C" w14:textId="4F7B2F4F"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7482915" w14:textId="77777777" w:rsidR="002E6904" w:rsidRPr="005732FC" w:rsidRDefault="002E6904" w:rsidP="002E6904">
      <w:pPr>
        <w:spacing w:after="0"/>
        <w:jc w:val="both"/>
        <w:rPr>
          <w:rFonts w:ascii="Arial" w:hAnsi="Arial" w:cs="Arial"/>
          <w:sz w:val="20"/>
          <w:szCs w:val="20"/>
        </w:rPr>
      </w:pPr>
      <w:r w:rsidRPr="005732FC">
        <w:rPr>
          <w:rFonts w:ascii="Arial" w:hAnsi="Arial" w:cs="Arial"/>
          <w:sz w:val="20"/>
          <w:szCs w:val="20"/>
        </w:rPr>
        <w:t>La cuenta de bienes inmuebles, infraestructura y construcciones en proceso se integra al 30 de junio del 2025 como sigue:</w:t>
      </w:r>
    </w:p>
    <w:p w14:paraId="265D12A0" w14:textId="77777777" w:rsidR="002E6904" w:rsidRPr="005732FC" w:rsidRDefault="002E6904" w:rsidP="002E6904">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4566"/>
        <w:gridCol w:w="297"/>
        <w:gridCol w:w="297"/>
        <w:gridCol w:w="2353"/>
        <w:gridCol w:w="2268"/>
      </w:tblGrid>
      <w:tr w:rsidR="002E6904" w:rsidRPr="005732FC" w14:paraId="5369A82B" w14:textId="77777777" w:rsidTr="008C77A6">
        <w:trPr>
          <w:trHeight w:val="20"/>
          <w:tblHeader/>
        </w:trPr>
        <w:tc>
          <w:tcPr>
            <w:tcW w:w="5160" w:type="dxa"/>
            <w:gridSpan w:val="3"/>
            <w:tcBorders>
              <w:top w:val="single" w:sz="8" w:space="0" w:color="auto"/>
              <w:left w:val="nil"/>
              <w:bottom w:val="single" w:sz="8" w:space="0" w:color="auto"/>
              <w:right w:val="nil"/>
            </w:tcBorders>
            <w:shd w:val="clear" w:color="000000" w:fill="D9D9D9"/>
            <w:noWrap/>
            <w:vAlign w:val="center"/>
            <w:hideMark/>
          </w:tcPr>
          <w:p w14:paraId="5BA051AD" w14:textId="77777777" w:rsidR="002E6904" w:rsidRPr="005732FC" w:rsidRDefault="002E6904"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353" w:type="dxa"/>
            <w:tcBorders>
              <w:top w:val="single" w:sz="8" w:space="0" w:color="auto"/>
              <w:left w:val="nil"/>
              <w:bottom w:val="single" w:sz="8" w:space="0" w:color="auto"/>
              <w:right w:val="nil"/>
            </w:tcBorders>
            <w:shd w:val="clear" w:color="000000" w:fill="D9D9D9"/>
            <w:vAlign w:val="center"/>
            <w:hideMark/>
          </w:tcPr>
          <w:p w14:paraId="306A339D" w14:textId="77777777" w:rsidR="002E6904" w:rsidRPr="005732FC" w:rsidRDefault="002E6904"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754AD8BC" w14:textId="77777777" w:rsidR="002E6904" w:rsidRPr="005732FC" w:rsidRDefault="002E6904"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2E6904" w:rsidRPr="005732FC" w14:paraId="2C44E051" w14:textId="77777777" w:rsidTr="008C77A6">
        <w:trPr>
          <w:trHeight w:val="20"/>
        </w:trPr>
        <w:tc>
          <w:tcPr>
            <w:tcW w:w="4566" w:type="dxa"/>
            <w:tcBorders>
              <w:top w:val="nil"/>
              <w:left w:val="nil"/>
              <w:bottom w:val="nil"/>
              <w:right w:val="nil"/>
            </w:tcBorders>
            <w:shd w:val="clear" w:color="auto" w:fill="auto"/>
            <w:noWrap/>
            <w:vAlign w:val="center"/>
            <w:hideMark/>
          </w:tcPr>
          <w:p w14:paraId="17656DD6"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Terrenos </w:t>
            </w:r>
          </w:p>
        </w:tc>
        <w:tc>
          <w:tcPr>
            <w:tcW w:w="297" w:type="dxa"/>
            <w:tcBorders>
              <w:top w:val="nil"/>
              <w:left w:val="nil"/>
              <w:bottom w:val="nil"/>
              <w:right w:val="nil"/>
            </w:tcBorders>
            <w:shd w:val="clear" w:color="auto" w:fill="auto"/>
            <w:noWrap/>
            <w:vAlign w:val="center"/>
            <w:hideMark/>
          </w:tcPr>
          <w:p w14:paraId="29337A05"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shd w:val="clear" w:color="auto" w:fill="auto"/>
            <w:noWrap/>
            <w:vAlign w:val="center"/>
            <w:hideMark/>
          </w:tcPr>
          <w:p w14:paraId="36DCCC09" w14:textId="77777777" w:rsidR="002E6904" w:rsidRPr="005732FC" w:rsidRDefault="002E6904" w:rsidP="008C77A6">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shd w:val="clear" w:color="auto" w:fill="auto"/>
            <w:noWrap/>
            <w:vAlign w:val="center"/>
            <w:hideMark/>
          </w:tcPr>
          <w:p w14:paraId="4F8C5447"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2,757,222,082.21</w:t>
            </w:r>
          </w:p>
        </w:tc>
        <w:tc>
          <w:tcPr>
            <w:tcW w:w="2268" w:type="dxa"/>
            <w:tcBorders>
              <w:top w:val="nil"/>
              <w:left w:val="nil"/>
              <w:bottom w:val="nil"/>
              <w:right w:val="nil"/>
            </w:tcBorders>
            <w:shd w:val="clear" w:color="auto" w:fill="auto"/>
            <w:noWrap/>
            <w:vAlign w:val="center"/>
            <w:hideMark/>
          </w:tcPr>
          <w:p w14:paraId="558A0DEB"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2,757,222,082.21 </w:t>
            </w:r>
          </w:p>
        </w:tc>
      </w:tr>
      <w:tr w:rsidR="002E6904" w:rsidRPr="005732FC" w14:paraId="4DD3D4D3" w14:textId="77777777" w:rsidTr="008C77A6">
        <w:trPr>
          <w:trHeight w:val="20"/>
        </w:trPr>
        <w:tc>
          <w:tcPr>
            <w:tcW w:w="4566" w:type="dxa"/>
            <w:tcBorders>
              <w:top w:val="nil"/>
              <w:left w:val="nil"/>
              <w:bottom w:val="nil"/>
              <w:right w:val="nil"/>
            </w:tcBorders>
            <w:shd w:val="clear" w:color="auto" w:fill="auto"/>
            <w:noWrap/>
            <w:vAlign w:val="center"/>
            <w:hideMark/>
          </w:tcPr>
          <w:p w14:paraId="695E4523"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Viviendas </w:t>
            </w:r>
          </w:p>
        </w:tc>
        <w:tc>
          <w:tcPr>
            <w:tcW w:w="297" w:type="dxa"/>
            <w:tcBorders>
              <w:top w:val="nil"/>
              <w:left w:val="nil"/>
              <w:bottom w:val="nil"/>
              <w:right w:val="nil"/>
            </w:tcBorders>
            <w:shd w:val="clear" w:color="auto" w:fill="auto"/>
            <w:noWrap/>
            <w:vAlign w:val="center"/>
            <w:hideMark/>
          </w:tcPr>
          <w:p w14:paraId="608F3504"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shd w:val="clear" w:color="auto" w:fill="auto"/>
            <w:noWrap/>
            <w:vAlign w:val="center"/>
            <w:hideMark/>
          </w:tcPr>
          <w:p w14:paraId="70F1CA78" w14:textId="77777777" w:rsidR="002E6904" w:rsidRPr="005732FC" w:rsidRDefault="002E6904" w:rsidP="008C77A6">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shd w:val="clear" w:color="auto" w:fill="auto"/>
            <w:noWrap/>
            <w:vAlign w:val="center"/>
            <w:hideMark/>
          </w:tcPr>
          <w:p w14:paraId="06F14CA4"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46,750,507.63</w:t>
            </w:r>
          </w:p>
        </w:tc>
        <w:tc>
          <w:tcPr>
            <w:tcW w:w="2268" w:type="dxa"/>
            <w:tcBorders>
              <w:top w:val="nil"/>
              <w:left w:val="nil"/>
              <w:bottom w:val="nil"/>
              <w:right w:val="nil"/>
            </w:tcBorders>
            <w:shd w:val="clear" w:color="auto" w:fill="auto"/>
            <w:noWrap/>
            <w:vAlign w:val="center"/>
            <w:hideMark/>
          </w:tcPr>
          <w:p w14:paraId="7215EA8B"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46,750,507.63 </w:t>
            </w:r>
          </w:p>
        </w:tc>
      </w:tr>
      <w:tr w:rsidR="002E6904" w:rsidRPr="005732FC" w14:paraId="581452CC" w14:textId="77777777" w:rsidTr="008C77A6">
        <w:trPr>
          <w:trHeight w:val="20"/>
        </w:trPr>
        <w:tc>
          <w:tcPr>
            <w:tcW w:w="4863" w:type="dxa"/>
            <w:gridSpan w:val="2"/>
            <w:tcBorders>
              <w:top w:val="nil"/>
              <w:left w:val="nil"/>
              <w:bottom w:val="nil"/>
              <w:right w:val="nil"/>
            </w:tcBorders>
            <w:shd w:val="clear" w:color="auto" w:fill="auto"/>
            <w:noWrap/>
            <w:vAlign w:val="center"/>
            <w:hideMark/>
          </w:tcPr>
          <w:p w14:paraId="52988615"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Edificios no Habitacionales </w:t>
            </w:r>
          </w:p>
        </w:tc>
        <w:tc>
          <w:tcPr>
            <w:tcW w:w="297" w:type="dxa"/>
            <w:tcBorders>
              <w:top w:val="nil"/>
              <w:left w:val="nil"/>
              <w:bottom w:val="nil"/>
              <w:right w:val="nil"/>
            </w:tcBorders>
            <w:shd w:val="clear" w:color="auto" w:fill="auto"/>
            <w:noWrap/>
            <w:vAlign w:val="center"/>
            <w:hideMark/>
          </w:tcPr>
          <w:p w14:paraId="405CAEE4"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p>
        </w:tc>
        <w:tc>
          <w:tcPr>
            <w:tcW w:w="2353" w:type="dxa"/>
            <w:tcBorders>
              <w:top w:val="nil"/>
              <w:left w:val="nil"/>
              <w:bottom w:val="nil"/>
              <w:right w:val="nil"/>
            </w:tcBorders>
            <w:shd w:val="clear" w:color="auto" w:fill="auto"/>
            <w:noWrap/>
            <w:vAlign w:val="center"/>
            <w:hideMark/>
          </w:tcPr>
          <w:p w14:paraId="3EAE43CF"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747,425,417.22</w:t>
            </w:r>
          </w:p>
        </w:tc>
        <w:tc>
          <w:tcPr>
            <w:tcW w:w="2268" w:type="dxa"/>
            <w:tcBorders>
              <w:top w:val="nil"/>
              <w:left w:val="nil"/>
              <w:bottom w:val="nil"/>
              <w:right w:val="nil"/>
            </w:tcBorders>
            <w:shd w:val="clear" w:color="auto" w:fill="auto"/>
            <w:noWrap/>
            <w:vAlign w:val="center"/>
            <w:hideMark/>
          </w:tcPr>
          <w:p w14:paraId="3E6C3404"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737,784,892.97 </w:t>
            </w:r>
          </w:p>
        </w:tc>
      </w:tr>
      <w:tr w:rsidR="002E6904" w:rsidRPr="005732FC" w14:paraId="11D6754E" w14:textId="77777777" w:rsidTr="008C77A6">
        <w:trPr>
          <w:trHeight w:val="20"/>
        </w:trPr>
        <w:tc>
          <w:tcPr>
            <w:tcW w:w="4566" w:type="dxa"/>
            <w:tcBorders>
              <w:top w:val="nil"/>
              <w:left w:val="nil"/>
              <w:bottom w:val="nil"/>
              <w:right w:val="nil"/>
            </w:tcBorders>
            <w:shd w:val="clear" w:color="auto" w:fill="auto"/>
            <w:noWrap/>
            <w:vAlign w:val="center"/>
            <w:hideMark/>
          </w:tcPr>
          <w:p w14:paraId="1EB931AE"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Infraestructura</w:t>
            </w:r>
          </w:p>
        </w:tc>
        <w:tc>
          <w:tcPr>
            <w:tcW w:w="297" w:type="dxa"/>
            <w:tcBorders>
              <w:top w:val="nil"/>
              <w:left w:val="nil"/>
              <w:bottom w:val="nil"/>
              <w:right w:val="nil"/>
            </w:tcBorders>
            <w:shd w:val="clear" w:color="auto" w:fill="auto"/>
            <w:noWrap/>
            <w:vAlign w:val="center"/>
            <w:hideMark/>
          </w:tcPr>
          <w:p w14:paraId="41B3A452"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shd w:val="clear" w:color="auto" w:fill="auto"/>
            <w:noWrap/>
            <w:vAlign w:val="center"/>
            <w:hideMark/>
          </w:tcPr>
          <w:p w14:paraId="23B3BBE7" w14:textId="77777777" w:rsidR="002E6904" w:rsidRPr="005732FC" w:rsidRDefault="002E6904" w:rsidP="008C77A6">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shd w:val="clear" w:color="auto" w:fill="auto"/>
            <w:noWrap/>
            <w:vAlign w:val="center"/>
            <w:hideMark/>
          </w:tcPr>
          <w:p w14:paraId="413C45CA"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16,597,576.60</w:t>
            </w:r>
          </w:p>
        </w:tc>
        <w:tc>
          <w:tcPr>
            <w:tcW w:w="2268" w:type="dxa"/>
            <w:tcBorders>
              <w:top w:val="nil"/>
              <w:left w:val="nil"/>
              <w:bottom w:val="nil"/>
              <w:right w:val="nil"/>
            </w:tcBorders>
            <w:shd w:val="clear" w:color="auto" w:fill="auto"/>
            <w:noWrap/>
            <w:vAlign w:val="center"/>
            <w:hideMark/>
          </w:tcPr>
          <w:p w14:paraId="404E2B0D"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16,597,576.60 </w:t>
            </w:r>
          </w:p>
        </w:tc>
      </w:tr>
      <w:tr w:rsidR="002E6904" w:rsidRPr="005732FC" w14:paraId="0D594D1B" w14:textId="77777777" w:rsidTr="008C77A6">
        <w:trPr>
          <w:trHeight w:val="20"/>
        </w:trPr>
        <w:tc>
          <w:tcPr>
            <w:tcW w:w="5160" w:type="dxa"/>
            <w:gridSpan w:val="3"/>
            <w:tcBorders>
              <w:top w:val="nil"/>
              <w:left w:val="nil"/>
              <w:bottom w:val="nil"/>
              <w:right w:val="nil"/>
            </w:tcBorders>
            <w:shd w:val="clear" w:color="auto" w:fill="auto"/>
            <w:noWrap/>
            <w:vAlign w:val="center"/>
            <w:hideMark/>
          </w:tcPr>
          <w:p w14:paraId="6B5EF42B"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Construcción en Proceso en Bienes de Dominio Publico </w:t>
            </w:r>
          </w:p>
        </w:tc>
        <w:tc>
          <w:tcPr>
            <w:tcW w:w="2353" w:type="dxa"/>
            <w:tcBorders>
              <w:top w:val="nil"/>
              <w:left w:val="nil"/>
              <w:bottom w:val="nil"/>
              <w:right w:val="nil"/>
            </w:tcBorders>
            <w:shd w:val="clear" w:color="auto" w:fill="auto"/>
            <w:noWrap/>
            <w:vAlign w:val="center"/>
            <w:hideMark/>
          </w:tcPr>
          <w:p w14:paraId="34CA16B9"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noWrap/>
            <w:vAlign w:val="center"/>
            <w:hideMark/>
          </w:tcPr>
          <w:p w14:paraId="47D68FD9"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610,680,578.00 </w:t>
            </w:r>
          </w:p>
        </w:tc>
      </w:tr>
      <w:tr w:rsidR="002E6904" w:rsidRPr="005732FC" w14:paraId="0D48DE9D" w14:textId="77777777" w:rsidTr="008C77A6">
        <w:trPr>
          <w:trHeight w:val="20"/>
        </w:trPr>
        <w:tc>
          <w:tcPr>
            <w:tcW w:w="5160" w:type="dxa"/>
            <w:gridSpan w:val="3"/>
            <w:tcBorders>
              <w:top w:val="nil"/>
              <w:left w:val="nil"/>
              <w:bottom w:val="single" w:sz="8" w:space="0" w:color="auto"/>
              <w:right w:val="nil"/>
            </w:tcBorders>
            <w:shd w:val="clear" w:color="auto" w:fill="auto"/>
            <w:noWrap/>
            <w:vAlign w:val="center"/>
            <w:hideMark/>
          </w:tcPr>
          <w:p w14:paraId="35EFAD0C"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Construcciones en Proceso en Bienes Propios </w:t>
            </w:r>
          </w:p>
        </w:tc>
        <w:tc>
          <w:tcPr>
            <w:tcW w:w="2353" w:type="dxa"/>
            <w:tcBorders>
              <w:top w:val="nil"/>
              <w:left w:val="nil"/>
              <w:bottom w:val="single" w:sz="8" w:space="0" w:color="auto"/>
              <w:right w:val="nil"/>
            </w:tcBorders>
            <w:shd w:val="clear" w:color="auto" w:fill="auto"/>
            <w:noWrap/>
            <w:vAlign w:val="center"/>
            <w:hideMark/>
          </w:tcPr>
          <w:p w14:paraId="46CE6D97"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8" w:space="0" w:color="auto"/>
              <w:right w:val="nil"/>
            </w:tcBorders>
            <w:shd w:val="clear" w:color="auto" w:fill="auto"/>
            <w:noWrap/>
            <w:vAlign w:val="center"/>
            <w:hideMark/>
          </w:tcPr>
          <w:p w14:paraId="784F1796"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9,640,524.25 </w:t>
            </w:r>
          </w:p>
        </w:tc>
      </w:tr>
      <w:tr w:rsidR="002E6904" w:rsidRPr="005732FC" w14:paraId="4A7C5ED2" w14:textId="77777777" w:rsidTr="008C77A6">
        <w:trPr>
          <w:trHeight w:val="20"/>
        </w:trPr>
        <w:tc>
          <w:tcPr>
            <w:tcW w:w="4566" w:type="dxa"/>
            <w:tcBorders>
              <w:top w:val="nil"/>
              <w:left w:val="nil"/>
              <w:bottom w:val="single" w:sz="8" w:space="0" w:color="auto"/>
              <w:right w:val="nil"/>
            </w:tcBorders>
            <w:shd w:val="clear" w:color="000000" w:fill="D9D9D9"/>
            <w:noWrap/>
            <w:vAlign w:val="center"/>
            <w:hideMark/>
          </w:tcPr>
          <w:p w14:paraId="3F90F019" w14:textId="77777777" w:rsidR="002E6904" w:rsidRPr="005732FC" w:rsidRDefault="002E6904"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297" w:type="dxa"/>
            <w:tcBorders>
              <w:top w:val="nil"/>
              <w:left w:val="nil"/>
              <w:bottom w:val="single" w:sz="8" w:space="0" w:color="auto"/>
              <w:right w:val="nil"/>
            </w:tcBorders>
            <w:shd w:val="clear" w:color="000000" w:fill="D9D9D9"/>
            <w:noWrap/>
            <w:vAlign w:val="center"/>
            <w:hideMark/>
          </w:tcPr>
          <w:p w14:paraId="3657B85D" w14:textId="77777777" w:rsidR="002E6904" w:rsidRPr="005732FC" w:rsidRDefault="002E6904"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97" w:type="dxa"/>
            <w:tcBorders>
              <w:top w:val="nil"/>
              <w:left w:val="nil"/>
              <w:bottom w:val="single" w:sz="8" w:space="0" w:color="auto"/>
              <w:right w:val="nil"/>
            </w:tcBorders>
            <w:shd w:val="clear" w:color="000000" w:fill="D9D9D9"/>
            <w:noWrap/>
            <w:vAlign w:val="center"/>
            <w:hideMark/>
          </w:tcPr>
          <w:p w14:paraId="5E4893FC" w14:textId="77777777" w:rsidR="002E6904" w:rsidRPr="005732FC" w:rsidRDefault="002E6904"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353" w:type="dxa"/>
            <w:tcBorders>
              <w:top w:val="nil"/>
              <w:left w:val="nil"/>
              <w:bottom w:val="single" w:sz="8" w:space="0" w:color="auto"/>
              <w:right w:val="nil"/>
            </w:tcBorders>
            <w:shd w:val="clear" w:color="000000" w:fill="D9D9D9"/>
            <w:noWrap/>
            <w:vAlign w:val="center"/>
            <w:hideMark/>
          </w:tcPr>
          <w:p w14:paraId="21622056" w14:textId="77777777" w:rsidR="002E6904" w:rsidRPr="005732FC" w:rsidRDefault="002E6904"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3,567,995,583.66</w:t>
            </w:r>
          </w:p>
        </w:tc>
        <w:tc>
          <w:tcPr>
            <w:tcW w:w="2268" w:type="dxa"/>
            <w:tcBorders>
              <w:top w:val="nil"/>
              <w:left w:val="nil"/>
              <w:bottom w:val="single" w:sz="8" w:space="0" w:color="auto"/>
              <w:right w:val="nil"/>
            </w:tcBorders>
            <w:shd w:val="clear" w:color="000000" w:fill="D9D9D9"/>
            <w:noWrap/>
            <w:vAlign w:val="center"/>
            <w:hideMark/>
          </w:tcPr>
          <w:p w14:paraId="4C7F4B66" w14:textId="77777777" w:rsidR="002E6904" w:rsidRPr="005732FC" w:rsidRDefault="002E6904"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4,178,676,161.66 </w:t>
            </w:r>
          </w:p>
        </w:tc>
      </w:tr>
    </w:tbl>
    <w:p w14:paraId="4049AC04" w14:textId="4E33E3BC" w:rsidR="00812695" w:rsidRPr="005732FC" w:rsidRDefault="00812695" w:rsidP="00C04AE8">
      <w:pPr>
        <w:spacing w:after="0"/>
        <w:jc w:val="both"/>
        <w:rPr>
          <w:rFonts w:ascii="Arial" w:hAnsi="Arial" w:cs="Arial"/>
          <w:sz w:val="20"/>
          <w:szCs w:val="20"/>
        </w:rPr>
      </w:pPr>
    </w:p>
    <w:p w14:paraId="2AA479FE" w14:textId="77777777" w:rsidR="00AB28A7" w:rsidRPr="005732FC" w:rsidRDefault="00C04AE8" w:rsidP="00C04AE8">
      <w:pPr>
        <w:spacing w:after="0"/>
        <w:jc w:val="both"/>
        <w:rPr>
          <w:rFonts w:ascii="Arial" w:hAnsi="Arial" w:cs="Arial"/>
          <w:sz w:val="20"/>
          <w:szCs w:val="20"/>
        </w:rPr>
      </w:pPr>
      <w:r w:rsidRPr="005732FC">
        <w:rPr>
          <w:rFonts w:ascii="Arial" w:hAnsi="Arial" w:cs="Arial"/>
          <w:sz w:val="20"/>
          <w:szCs w:val="20"/>
        </w:rPr>
        <w:t xml:space="preserve">Las obras en proceso están registradas en una cuenta contable específica del activo, la cual reflejará su grado de avance en forma objetiva y comprobable de acuerdo al artículo 29 de la Ley General de Contabilidad Gubernamental y en </w:t>
      </w:r>
      <w:r w:rsidRPr="005732FC">
        <w:rPr>
          <w:rFonts w:ascii="Arial" w:hAnsi="Arial" w:cs="Arial"/>
          <w:sz w:val="20"/>
          <w:szCs w:val="20"/>
        </w:rPr>
        <w:lastRenderedPageBreak/>
        <w:t>cumplimiento al acuerdo del Consejo Nacional de Armonización Contable publicado en el DOF de fecha 13 de diciembre de 2011, en donde se emiten las Reglas Específicas del Registro y Valoración del Patrimonio.</w:t>
      </w:r>
    </w:p>
    <w:p w14:paraId="54C6E0B5" w14:textId="1A6CF452"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CA75F49" w14:textId="2E7D69AB" w:rsidR="00BA3347" w:rsidRPr="005732FC" w:rsidRDefault="00BA3347" w:rsidP="00C87B49">
      <w:pPr>
        <w:pStyle w:val="Ttulo2"/>
        <w:numPr>
          <w:ilvl w:val="0"/>
          <w:numId w:val="40"/>
        </w:numPr>
        <w:ind w:left="0"/>
        <w:rPr>
          <w:rFonts w:ascii="Arial" w:hAnsi="Arial" w:cs="Arial"/>
          <w:b/>
          <w:bCs/>
          <w:sz w:val="20"/>
          <w:szCs w:val="20"/>
        </w:rPr>
      </w:pPr>
      <w:r w:rsidRPr="005732FC">
        <w:rPr>
          <w:rFonts w:ascii="Arial" w:hAnsi="Arial" w:cs="Arial"/>
          <w:b/>
          <w:bCs/>
          <w:color w:val="auto"/>
          <w:sz w:val="20"/>
          <w:szCs w:val="20"/>
        </w:rPr>
        <w:t xml:space="preserve">Bienes muebles  </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6BFF640F" w14:textId="4F42CEE8"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0D735B8" w14:textId="77777777" w:rsidR="002E6904" w:rsidRPr="005732FC" w:rsidRDefault="002E6904" w:rsidP="002E6904">
      <w:pPr>
        <w:spacing w:after="0"/>
        <w:jc w:val="both"/>
        <w:rPr>
          <w:rFonts w:ascii="Arial" w:hAnsi="Arial" w:cs="Arial"/>
          <w:sz w:val="20"/>
          <w:szCs w:val="20"/>
        </w:rPr>
      </w:pPr>
      <w:r w:rsidRPr="005732FC">
        <w:rPr>
          <w:rFonts w:ascii="Arial" w:hAnsi="Arial" w:cs="Arial"/>
          <w:sz w:val="20"/>
          <w:szCs w:val="20"/>
        </w:rPr>
        <w:t>La cuenta de bienes muebles se integra al 30 de junio del 2025 como sigue:</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3855"/>
        <w:gridCol w:w="653"/>
        <w:gridCol w:w="653"/>
        <w:gridCol w:w="2352"/>
        <w:gridCol w:w="2268"/>
      </w:tblGrid>
      <w:tr w:rsidR="002E6904" w:rsidRPr="005732FC" w14:paraId="191C7637" w14:textId="77777777" w:rsidTr="008C77A6">
        <w:trPr>
          <w:trHeight w:val="20"/>
          <w:tblHeader/>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7B349B52" w14:textId="77777777" w:rsidR="002E6904" w:rsidRPr="005732FC" w:rsidRDefault="002E6904" w:rsidP="008C77A6">
            <w:pPr>
              <w:pStyle w:val="Prrafodelista"/>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2C37A3EF" w14:textId="77777777" w:rsidR="002E6904" w:rsidRPr="005732FC" w:rsidRDefault="002E6904"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6D98C723" w14:textId="77777777" w:rsidR="002E6904" w:rsidRPr="005732FC" w:rsidRDefault="002E6904"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2E6904" w:rsidRPr="005732FC" w14:paraId="07C6F241" w14:textId="77777777" w:rsidTr="008C77A6">
        <w:trPr>
          <w:trHeight w:val="20"/>
        </w:trPr>
        <w:tc>
          <w:tcPr>
            <w:tcW w:w="5161" w:type="dxa"/>
            <w:gridSpan w:val="3"/>
            <w:tcBorders>
              <w:top w:val="nil"/>
              <w:left w:val="nil"/>
              <w:bottom w:val="nil"/>
              <w:right w:val="nil"/>
            </w:tcBorders>
            <w:shd w:val="clear" w:color="auto" w:fill="auto"/>
            <w:noWrap/>
            <w:vAlign w:val="center"/>
            <w:hideMark/>
          </w:tcPr>
          <w:p w14:paraId="73EFD00E"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Mobiliario y Equipo de Administración </w:t>
            </w:r>
          </w:p>
        </w:tc>
        <w:tc>
          <w:tcPr>
            <w:tcW w:w="2352" w:type="dxa"/>
            <w:tcBorders>
              <w:top w:val="nil"/>
              <w:left w:val="nil"/>
              <w:bottom w:val="nil"/>
              <w:right w:val="nil"/>
            </w:tcBorders>
            <w:shd w:val="clear" w:color="auto" w:fill="auto"/>
            <w:noWrap/>
            <w:vAlign w:val="center"/>
            <w:hideMark/>
          </w:tcPr>
          <w:p w14:paraId="520D8C24"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174,321,765.47</w:t>
            </w:r>
          </w:p>
        </w:tc>
        <w:tc>
          <w:tcPr>
            <w:tcW w:w="2268" w:type="dxa"/>
            <w:tcBorders>
              <w:top w:val="nil"/>
              <w:left w:val="nil"/>
              <w:bottom w:val="nil"/>
              <w:right w:val="nil"/>
            </w:tcBorders>
            <w:shd w:val="clear" w:color="auto" w:fill="auto"/>
            <w:noWrap/>
            <w:vAlign w:val="center"/>
            <w:hideMark/>
          </w:tcPr>
          <w:p w14:paraId="6CC62003"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174,041,794.52</w:t>
            </w:r>
          </w:p>
        </w:tc>
      </w:tr>
      <w:tr w:rsidR="002E6904" w:rsidRPr="005732FC" w14:paraId="45099A59" w14:textId="77777777" w:rsidTr="008C77A6">
        <w:trPr>
          <w:trHeight w:val="20"/>
        </w:trPr>
        <w:tc>
          <w:tcPr>
            <w:tcW w:w="5161" w:type="dxa"/>
            <w:gridSpan w:val="3"/>
            <w:tcBorders>
              <w:top w:val="nil"/>
              <w:left w:val="nil"/>
              <w:bottom w:val="nil"/>
              <w:right w:val="nil"/>
            </w:tcBorders>
            <w:shd w:val="clear" w:color="auto" w:fill="auto"/>
            <w:noWrap/>
            <w:vAlign w:val="center"/>
            <w:hideMark/>
          </w:tcPr>
          <w:p w14:paraId="76484F19"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Mobiliario y Equipo Educacional y Recreativo </w:t>
            </w:r>
          </w:p>
        </w:tc>
        <w:tc>
          <w:tcPr>
            <w:tcW w:w="2352" w:type="dxa"/>
            <w:tcBorders>
              <w:top w:val="nil"/>
              <w:left w:val="nil"/>
              <w:bottom w:val="nil"/>
              <w:right w:val="nil"/>
            </w:tcBorders>
            <w:shd w:val="clear" w:color="auto" w:fill="auto"/>
            <w:noWrap/>
            <w:vAlign w:val="center"/>
            <w:hideMark/>
          </w:tcPr>
          <w:p w14:paraId="4F0F67B8"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63,355,387.27</w:t>
            </w:r>
          </w:p>
        </w:tc>
        <w:tc>
          <w:tcPr>
            <w:tcW w:w="2268" w:type="dxa"/>
            <w:tcBorders>
              <w:top w:val="nil"/>
              <w:left w:val="nil"/>
              <w:bottom w:val="nil"/>
              <w:right w:val="nil"/>
            </w:tcBorders>
            <w:shd w:val="clear" w:color="auto" w:fill="auto"/>
            <w:noWrap/>
            <w:vAlign w:val="center"/>
            <w:hideMark/>
          </w:tcPr>
          <w:p w14:paraId="1D0ADE94"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63,094,940.01</w:t>
            </w:r>
          </w:p>
        </w:tc>
      </w:tr>
      <w:tr w:rsidR="002E6904" w:rsidRPr="005732FC" w14:paraId="437C3169" w14:textId="77777777" w:rsidTr="008C77A6">
        <w:trPr>
          <w:trHeight w:val="20"/>
        </w:trPr>
        <w:tc>
          <w:tcPr>
            <w:tcW w:w="5161" w:type="dxa"/>
            <w:gridSpan w:val="3"/>
            <w:tcBorders>
              <w:top w:val="nil"/>
              <w:left w:val="nil"/>
              <w:bottom w:val="nil"/>
              <w:right w:val="nil"/>
            </w:tcBorders>
            <w:shd w:val="clear" w:color="auto" w:fill="auto"/>
            <w:noWrap/>
            <w:vAlign w:val="center"/>
            <w:hideMark/>
          </w:tcPr>
          <w:p w14:paraId="1C732638"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Equipo e Instrumental Médico y de Laboratorio </w:t>
            </w:r>
          </w:p>
        </w:tc>
        <w:tc>
          <w:tcPr>
            <w:tcW w:w="2352" w:type="dxa"/>
            <w:tcBorders>
              <w:top w:val="nil"/>
              <w:left w:val="nil"/>
              <w:bottom w:val="nil"/>
              <w:right w:val="nil"/>
            </w:tcBorders>
            <w:shd w:val="clear" w:color="auto" w:fill="auto"/>
            <w:noWrap/>
            <w:vAlign w:val="center"/>
            <w:hideMark/>
          </w:tcPr>
          <w:p w14:paraId="088DFCAD"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12,554,119.19</w:t>
            </w:r>
          </w:p>
        </w:tc>
        <w:tc>
          <w:tcPr>
            <w:tcW w:w="2268" w:type="dxa"/>
            <w:tcBorders>
              <w:top w:val="nil"/>
              <w:left w:val="nil"/>
              <w:bottom w:val="nil"/>
              <w:right w:val="nil"/>
            </w:tcBorders>
            <w:shd w:val="clear" w:color="auto" w:fill="auto"/>
            <w:noWrap/>
            <w:vAlign w:val="center"/>
            <w:hideMark/>
          </w:tcPr>
          <w:p w14:paraId="4A233384"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12,554,119.19</w:t>
            </w:r>
          </w:p>
        </w:tc>
      </w:tr>
      <w:tr w:rsidR="002E6904" w:rsidRPr="005732FC" w14:paraId="502FBB0D" w14:textId="77777777" w:rsidTr="008C77A6">
        <w:trPr>
          <w:trHeight w:val="20"/>
        </w:trPr>
        <w:tc>
          <w:tcPr>
            <w:tcW w:w="4508" w:type="dxa"/>
            <w:gridSpan w:val="2"/>
            <w:tcBorders>
              <w:top w:val="nil"/>
              <w:left w:val="nil"/>
              <w:bottom w:val="nil"/>
              <w:right w:val="nil"/>
            </w:tcBorders>
            <w:shd w:val="clear" w:color="auto" w:fill="auto"/>
            <w:noWrap/>
            <w:vAlign w:val="center"/>
            <w:hideMark/>
          </w:tcPr>
          <w:p w14:paraId="0E80568C"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Vehículos y Equipo de Transporte </w:t>
            </w:r>
          </w:p>
        </w:tc>
        <w:tc>
          <w:tcPr>
            <w:tcW w:w="653" w:type="dxa"/>
            <w:tcBorders>
              <w:top w:val="nil"/>
              <w:left w:val="nil"/>
              <w:bottom w:val="nil"/>
              <w:right w:val="nil"/>
            </w:tcBorders>
            <w:shd w:val="clear" w:color="auto" w:fill="auto"/>
            <w:noWrap/>
            <w:vAlign w:val="center"/>
            <w:hideMark/>
          </w:tcPr>
          <w:p w14:paraId="6C8504AF"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p>
        </w:tc>
        <w:tc>
          <w:tcPr>
            <w:tcW w:w="2352" w:type="dxa"/>
            <w:tcBorders>
              <w:top w:val="nil"/>
              <w:left w:val="nil"/>
              <w:bottom w:val="nil"/>
              <w:right w:val="nil"/>
            </w:tcBorders>
            <w:shd w:val="clear" w:color="auto" w:fill="auto"/>
            <w:noWrap/>
            <w:vAlign w:val="center"/>
            <w:hideMark/>
          </w:tcPr>
          <w:p w14:paraId="4611A6E2"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320,639,703.82</w:t>
            </w:r>
          </w:p>
        </w:tc>
        <w:tc>
          <w:tcPr>
            <w:tcW w:w="2268" w:type="dxa"/>
            <w:tcBorders>
              <w:top w:val="nil"/>
              <w:left w:val="nil"/>
              <w:bottom w:val="nil"/>
              <w:right w:val="nil"/>
            </w:tcBorders>
            <w:shd w:val="clear" w:color="auto" w:fill="auto"/>
            <w:noWrap/>
            <w:vAlign w:val="center"/>
            <w:hideMark/>
          </w:tcPr>
          <w:p w14:paraId="2E3C08F0"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314,544,396.82</w:t>
            </w:r>
          </w:p>
        </w:tc>
      </w:tr>
      <w:tr w:rsidR="002E6904" w:rsidRPr="005732FC" w14:paraId="51F672F5" w14:textId="77777777" w:rsidTr="008C77A6">
        <w:trPr>
          <w:trHeight w:val="20"/>
        </w:trPr>
        <w:tc>
          <w:tcPr>
            <w:tcW w:w="4508" w:type="dxa"/>
            <w:gridSpan w:val="2"/>
            <w:tcBorders>
              <w:top w:val="nil"/>
              <w:left w:val="nil"/>
              <w:bottom w:val="nil"/>
              <w:right w:val="nil"/>
            </w:tcBorders>
            <w:shd w:val="clear" w:color="auto" w:fill="auto"/>
            <w:noWrap/>
            <w:vAlign w:val="center"/>
            <w:hideMark/>
          </w:tcPr>
          <w:p w14:paraId="5227AFB9"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Equipo de Defensa y Seguridad </w:t>
            </w:r>
          </w:p>
        </w:tc>
        <w:tc>
          <w:tcPr>
            <w:tcW w:w="653" w:type="dxa"/>
            <w:tcBorders>
              <w:top w:val="nil"/>
              <w:left w:val="nil"/>
              <w:bottom w:val="nil"/>
              <w:right w:val="nil"/>
            </w:tcBorders>
            <w:shd w:val="clear" w:color="auto" w:fill="auto"/>
            <w:noWrap/>
            <w:vAlign w:val="center"/>
            <w:hideMark/>
          </w:tcPr>
          <w:p w14:paraId="578D296B"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p>
        </w:tc>
        <w:tc>
          <w:tcPr>
            <w:tcW w:w="2352" w:type="dxa"/>
            <w:tcBorders>
              <w:top w:val="nil"/>
              <w:left w:val="nil"/>
              <w:bottom w:val="nil"/>
              <w:right w:val="nil"/>
            </w:tcBorders>
            <w:shd w:val="clear" w:color="auto" w:fill="auto"/>
            <w:noWrap/>
            <w:vAlign w:val="center"/>
            <w:hideMark/>
          </w:tcPr>
          <w:p w14:paraId="5D7AC636"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77,151,124.76</w:t>
            </w:r>
          </w:p>
        </w:tc>
        <w:tc>
          <w:tcPr>
            <w:tcW w:w="2268" w:type="dxa"/>
            <w:tcBorders>
              <w:top w:val="nil"/>
              <w:left w:val="nil"/>
              <w:bottom w:val="nil"/>
              <w:right w:val="nil"/>
            </w:tcBorders>
            <w:shd w:val="clear" w:color="auto" w:fill="auto"/>
            <w:noWrap/>
            <w:vAlign w:val="center"/>
            <w:hideMark/>
          </w:tcPr>
          <w:p w14:paraId="4A12E560"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77,151,124.76</w:t>
            </w:r>
          </w:p>
        </w:tc>
      </w:tr>
      <w:tr w:rsidR="002E6904" w:rsidRPr="005732FC" w14:paraId="3B0645CD" w14:textId="77777777" w:rsidTr="008C77A6">
        <w:trPr>
          <w:trHeight w:val="20"/>
        </w:trPr>
        <w:tc>
          <w:tcPr>
            <w:tcW w:w="5161" w:type="dxa"/>
            <w:gridSpan w:val="3"/>
            <w:tcBorders>
              <w:top w:val="nil"/>
              <w:left w:val="nil"/>
              <w:bottom w:val="single" w:sz="8" w:space="0" w:color="auto"/>
              <w:right w:val="nil"/>
            </w:tcBorders>
            <w:shd w:val="clear" w:color="auto" w:fill="auto"/>
            <w:noWrap/>
            <w:vAlign w:val="center"/>
            <w:hideMark/>
          </w:tcPr>
          <w:p w14:paraId="76A50E19" w14:textId="77777777" w:rsidR="002E6904" w:rsidRPr="005732FC" w:rsidRDefault="002E6904"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Maquinaria, Otros Equipos y Herramientas</w:t>
            </w:r>
          </w:p>
        </w:tc>
        <w:tc>
          <w:tcPr>
            <w:tcW w:w="2352" w:type="dxa"/>
            <w:tcBorders>
              <w:top w:val="nil"/>
              <w:left w:val="nil"/>
              <w:bottom w:val="single" w:sz="8" w:space="0" w:color="auto"/>
              <w:right w:val="nil"/>
            </w:tcBorders>
            <w:shd w:val="clear" w:color="auto" w:fill="auto"/>
            <w:noWrap/>
            <w:vAlign w:val="center"/>
            <w:hideMark/>
          </w:tcPr>
          <w:p w14:paraId="351AC0E8"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384,828,925.45</w:t>
            </w:r>
          </w:p>
        </w:tc>
        <w:tc>
          <w:tcPr>
            <w:tcW w:w="2268" w:type="dxa"/>
            <w:tcBorders>
              <w:top w:val="nil"/>
              <w:left w:val="nil"/>
              <w:bottom w:val="single" w:sz="8" w:space="0" w:color="auto"/>
              <w:right w:val="nil"/>
            </w:tcBorders>
            <w:shd w:val="clear" w:color="auto" w:fill="auto"/>
            <w:noWrap/>
            <w:vAlign w:val="center"/>
            <w:hideMark/>
          </w:tcPr>
          <w:p w14:paraId="5E674671" w14:textId="77777777" w:rsidR="002E6904" w:rsidRPr="005732FC" w:rsidRDefault="002E6904"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384,623,869.93</w:t>
            </w:r>
          </w:p>
        </w:tc>
      </w:tr>
      <w:tr w:rsidR="002E6904" w:rsidRPr="005732FC" w14:paraId="5D9D033F" w14:textId="77777777" w:rsidTr="008C77A6">
        <w:trPr>
          <w:trHeight w:val="20"/>
        </w:trPr>
        <w:tc>
          <w:tcPr>
            <w:tcW w:w="3855" w:type="dxa"/>
            <w:tcBorders>
              <w:top w:val="nil"/>
              <w:left w:val="nil"/>
              <w:bottom w:val="single" w:sz="8" w:space="0" w:color="auto"/>
              <w:right w:val="nil"/>
            </w:tcBorders>
            <w:shd w:val="clear" w:color="000000" w:fill="D9D9D9"/>
            <w:noWrap/>
            <w:vAlign w:val="center"/>
            <w:hideMark/>
          </w:tcPr>
          <w:p w14:paraId="7AB0A0C3" w14:textId="77777777" w:rsidR="002E6904" w:rsidRPr="005732FC" w:rsidRDefault="002E6904"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65144A21" w14:textId="77777777" w:rsidR="002E6904" w:rsidRPr="005732FC" w:rsidRDefault="002E6904"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566CC667" w14:textId="77777777" w:rsidR="002E6904" w:rsidRPr="005732FC" w:rsidRDefault="002E6904"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26044545" w14:textId="77777777" w:rsidR="002E6904" w:rsidRPr="005732FC" w:rsidRDefault="002E6904"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1,032,851,025.96</w:t>
            </w:r>
          </w:p>
        </w:tc>
        <w:tc>
          <w:tcPr>
            <w:tcW w:w="2268" w:type="dxa"/>
            <w:tcBorders>
              <w:top w:val="nil"/>
              <w:left w:val="nil"/>
              <w:bottom w:val="single" w:sz="8" w:space="0" w:color="auto"/>
              <w:right w:val="nil"/>
            </w:tcBorders>
            <w:shd w:val="clear" w:color="000000" w:fill="D9D9D9"/>
            <w:noWrap/>
            <w:vAlign w:val="center"/>
            <w:hideMark/>
          </w:tcPr>
          <w:p w14:paraId="0CE23878" w14:textId="77777777" w:rsidR="002E6904" w:rsidRPr="005732FC" w:rsidRDefault="002E6904"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1,026,010,245.23</w:t>
            </w:r>
          </w:p>
        </w:tc>
      </w:tr>
    </w:tbl>
    <w:p w14:paraId="64536626" w14:textId="671949F7" w:rsidR="00C04AE8" w:rsidRPr="005732FC" w:rsidRDefault="003C5317" w:rsidP="00C04AE8">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F268384" w14:textId="1C6E5C01" w:rsidR="00BA3347" w:rsidRPr="005732FC" w:rsidRDefault="00BA3347" w:rsidP="00C87B49">
      <w:pPr>
        <w:pStyle w:val="Ttulo2"/>
        <w:numPr>
          <w:ilvl w:val="0"/>
          <w:numId w:val="40"/>
        </w:numPr>
        <w:ind w:left="0"/>
        <w:rPr>
          <w:rFonts w:ascii="Arial" w:hAnsi="Arial" w:cs="Arial"/>
          <w:b/>
          <w:bCs/>
          <w:sz w:val="20"/>
          <w:szCs w:val="20"/>
        </w:rPr>
      </w:pPr>
      <w:r w:rsidRPr="005732FC">
        <w:rPr>
          <w:rFonts w:ascii="Arial" w:hAnsi="Arial" w:cs="Arial"/>
          <w:b/>
          <w:bCs/>
          <w:color w:val="auto"/>
          <w:sz w:val="20"/>
          <w:szCs w:val="20"/>
        </w:rPr>
        <w:t>Activos intangibles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43902F80" w14:textId="1E6776DD"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4B14E1C" w14:textId="77777777" w:rsidR="00274DD3" w:rsidRPr="005732FC" w:rsidRDefault="00274DD3" w:rsidP="00274DD3">
      <w:pPr>
        <w:spacing w:after="0"/>
        <w:jc w:val="both"/>
        <w:rPr>
          <w:rFonts w:ascii="Arial" w:hAnsi="Arial" w:cs="Arial"/>
          <w:sz w:val="20"/>
          <w:szCs w:val="20"/>
        </w:rPr>
      </w:pPr>
      <w:r w:rsidRPr="005732FC">
        <w:rPr>
          <w:rFonts w:ascii="Arial" w:hAnsi="Arial" w:cs="Arial"/>
          <w:sz w:val="20"/>
          <w:szCs w:val="20"/>
        </w:rPr>
        <w:t>La cuenta de activos intangibles se integra al 30 de junio del 2025 como sigue:</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10E70B3" w14:textId="77777777" w:rsidR="00274DD3" w:rsidRPr="005732FC" w:rsidRDefault="00274DD3" w:rsidP="00274DD3">
      <w:pPr>
        <w:spacing w:after="0"/>
        <w:jc w:val="both"/>
        <w:rPr>
          <w:rFonts w:ascii="Arial" w:hAnsi="Arial" w:cs="Arial"/>
          <w:sz w:val="20"/>
          <w:szCs w:val="20"/>
        </w:rPr>
      </w:pPr>
    </w:p>
    <w:tbl>
      <w:tblPr>
        <w:tblW w:w="8363" w:type="dxa"/>
        <w:tblCellMar>
          <w:left w:w="70" w:type="dxa"/>
          <w:right w:w="70" w:type="dxa"/>
        </w:tblCellMar>
        <w:tblLook w:val="04A0" w:firstRow="1" w:lastRow="0" w:firstColumn="1" w:lastColumn="0" w:noHBand="0" w:noVBand="1"/>
      </w:tblPr>
      <w:tblGrid>
        <w:gridCol w:w="1820"/>
        <w:gridCol w:w="1600"/>
        <w:gridCol w:w="2392"/>
        <w:gridCol w:w="2551"/>
      </w:tblGrid>
      <w:tr w:rsidR="00274DD3" w:rsidRPr="005732FC" w14:paraId="26FC1F85" w14:textId="77777777" w:rsidTr="008C77A6">
        <w:trPr>
          <w:trHeight w:val="20"/>
          <w:tblHeader/>
        </w:trPr>
        <w:tc>
          <w:tcPr>
            <w:tcW w:w="1820" w:type="dxa"/>
            <w:tcBorders>
              <w:top w:val="single" w:sz="8" w:space="0" w:color="auto"/>
              <w:left w:val="nil"/>
              <w:bottom w:val="single" w:sz="8" w:space="0" w:color="auto"/>
              <w:right w:val="nil"/>
            </w:tcBorders>
            <w:shd w:val="clear" w:color="000000" w:fill="D9D9D9"/>
            <w:noWrap/>
            <w:vAlign w:val="center"/>
            <w:hideMark/>
          </w:tcPr>
          <w:p w14:paraId="1206456B" w14:textId="77777777" w:rsidR="00274DD3" w:rsidRPr="005732FC" w:rsidRDefault="00274DD3" w:rsidP="00274DD3">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1600" w:type="dxa"/>
            <w:tcBorders>
              <w:top w:val="single" w:sz="8" w:space="0" w:color="auto"/>
              <w:left w:val="nil"/>
              <w:bottom w:val="single" w:sz="8" w:space="0" w:color="auto"/>
              <w:right w:val="nil"/>
            </w:tcBorders>
            <w:shd w:val="clear" w:color="000000" w:fill="D9D9D9"/>
            <w:noWrap/>
            <w:vAlign w:val="center"/>
            <w:hideMark/>
          </w:tcPr>
          <w:p w14:paraId="15A1CACD" w14:textId="77777777" w:rsidR="00274DD3" w:rsidRPr="005732FC" w:rsidRDefault="00274DD3" w:rsidP="00274DD3">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392" w:type="dxa"/>
            <w:tcBorders>
              <w:top w:val="single" w:sz="8" w:space="0" w:color="auto"/>
              <w:left w:val="nil"/>
              <w:bottom w:val="single" w:sz="8" w:space="0" w:color="auto"/>
              <w:right w:val="nil"/>
            </w:tcBorders>
            <w:shd w:val="clear" w:color="000000" w:fill="D9D9D9"/>
            <w:vAlign w:val="center"/>
            <w:hideMark/>
          </w:tcPr>
          <w:p w14:paraId="7AEDE566" w14:textId="77777777" w:rsidR="00274DD3" w:rsidRPr="005732FC" w:rsidRDefault="00274DD3" w:rsidP="00274DD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551" w:type="dxa"/>
            <w:tcBorders>
              <w:top w:val="single" w:sz="8" w:space="0" w:color="auto"/>
              <w:left w:val="nil"/>
              <w:bottom w:val="single" w:sz="8" w:space="0" w:color="auto"/>
              <w:right w:val="nil"/>
            </w:tcBorders>
            <w:shd w:val="clear" w:color="000000" w:fill="D9D9D9"/>
            <w:vAlign w:val="center"/>
            <w:hideMark/>
          </w:tcPr>
          <w:p w14:paraId="13866C79" w14:textId="77777777" w:rsidR="00274DD3" w:rsidRPr="005732FC" w:rsidRDefault="00274DD3" w:rsidP="00274DD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31 de diciembre 2024</w:t>
            </w:r>
          </w:p>
        </w:tc>
      </w:tr>
      <w:tr w:rsidR="00274DD3" w:rsidRPr="005732FC" w14:paraId="4510BF2D" w14:textId="77777777" w:rsidTr="008C77A6">
        <w:trPr>
          <w:trHeight w:val="20"/>
        </w:trPr>
        <w:tc>
          <w:tcPr>
            <w:tcW w:w="1820" w:type="dxa"/>
            <w:tcBorders>
              <w:top w:val="nil"/>
              <w:left w:val="nil"/>
              <w:bottom w:val="nil"/>
              <w:right w:val="nil"/>
            </w:tcBorders>
            <w:shd w:val="clear" w:color="auto" w:fill="auto"/>
            <w:noWrap/>
            <w:vAlign w:val="center"/>
            <w:hideMark/>
          </w:tcPr>
          <w:p w14:paraId="315208AF"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Software</w:t>
            </w:r>
          </w:p>
        </w:tc>
        <w:tc>
          <w:tcPr>
            <w:tcW w:w="1600" w:type="dxa"/>
            <w:tcBorders>
              <w:top w:val="nil"/>
              <w:left w:val="nil"/>
              <w:bottom w:val="nil"/>
              <w:right w:val="nil"/>
            </w:tcBorders>
            <w:shd w:val="clear" w:color="auto" w:fill="auto"/>
            <w:noWrap/>
            <w:vAlign w:val="center"/>
            <w:hideMark/>
          </w:tcPr>
          <w:p w14:paraId="3323F379"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p>
        </w:tc>
        <w:tc>
          <w:tcPr>
            <w:tcW w:w="2392" w:type="dxa"/>
            <w:tcBorders>
              <w:top w:val="nil"/>
              <w:left w:val="nil"/>
              <w:bottom w:val="nil"/>
              <w:right w:val="nil"/>
            </w:tcBorders>
            <w:shd w:val="clear" w:color="auto" w:fill="auto"/>
            <w:noWrap/>
            <w:vAlign w:val="center"/>
            <w:hideMark/>
          </w:tcPr>
          <w:p w14:paraId="054030E4"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18,976,969.61</w:t>
            </w:r>
          </w:p>
        </w:tc>
        <w:tc>
          <w:tcPr>
            <w:tcW w:w="2551" w:type="dxa"/>
            <w:tcBorders>
              <w:top w:val="nil"/>
              <w:left w:val="nil"/>
              <w:bottom w:val="nil"/>
              <w:right w:val="nil"/>
            </w:tcBorders>
            <w:shd w:val="clear" w:color="auto" w:fill="auto"/>
            <w:noWrap/>
            <w:vAlign w:val="center"/>
            <w:hideMark/>
          </w:tcPr>
          <w:p w14:paraId="0AA05CB2"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18,941,872.07</w:t>
            </w:r>
          </w:p>
        </w:tc>
      </w:tr>
      <w:tr w:rsidR="00274DD3" w:rsidRPr="005732FC" w14:paraId="40FBE954" w14:textId="77777777" w:rsidTr="008C77A6">
        <w:trPr>
          <w:trHeight w:val="20"/>
        </w:trPr>
        <w:tc>
          <w:tcPr>
            <w:tcW w:w="3420" w:type="dxa"/>
            <w:gridSpan w:val="2"/>
            <w:tcBorders>
              <w:top w:val="nil"/>
              <w:left w:val="nil"/>
              <w:bottom w:val="nil"/>
              <w:right w:val="nil"/>
            </w:tcBorders>
            <w:shd w:val="clear" w:color="auto" w:fill="auto"/>
            <w:noWrap/>
            <w:vAlign w:val="center"/>
            <w:hideMark/>
          </w:tcPr>
          <w:p w14:paraId="2E830920"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Patentes, marcas y derechos </w:t>
            </w:r>
          </w:p>
        </w:tc>
        <w:tc>
          <w:tcPr>
            <w:tcW w:w="2392" w:type="dxa"/>
            <w:tcBorders>
              <w:top w:val="nil"/>
              <w:left w:val="nil"/>
              <w:bottom w:val="nil"/>
              <w:right w:val="nil"/>
            </w:tcBorders>
            <w:shd w:val="clear" w:color="auto" w:fill="auto"/>
            <w:noWrap/>
            <w:vAlign w:val="center"/>
            <w:hideMark/>
          </w:tcPr>
          <w:p w14:paraId="7401DA0D"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834,405.68</w:t>
            </w:r>
          </w:p>
        </w:tc>
        <w:tc>
          <w:tcPr>
            <w:tcW w:w="2551" w:type="dxa"/>
            <w:tcBorders>
              <w:top w:val="nil"/>
              <w:left w:val="nil"/>
              <w:bottom w:val="nil"/>
              <w:right w:val="nil"/>
            </w:tcBorders>
            <w:shd w:val="clear" w:color="auto" w:fill="auto"/>
            <w:noWrap/>
            <w:vAlign w:val="center"/>
            <w:hideMark/>
          </w:tcPr>
          <w:p w14:paraId="0617253B"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834,405.68</w:t>
            </w:r>
          </w:p>
        </w:tc>
      </w:tr>
      <w:tr w:rsidR="00274DD3" w:rsidRPr="005732FC" w14:paraId="51F076EA" w14:textId="77777777" w:rsidTr="008C77A6">
        <w:trPr>
          <w:trHeight w:val="20"/>
        </w:trPr>
        <w:tc>
          <w:tcPr>
            <w:tcW w:w="1820" w:type="dxa"/>
            <w:tcBorders>
              <w:top w:val="nil"/>
              <w:left w:val="nil"/>
              <w:bottom w:val="single" w:sz="8" w:space="0" w:color="auto"/>
              <w:right w:val="nil"/>
            </w:tcBorders>
            <w:shd w:val="clear" w:color="auto" w:fill="auto"/>
            <w:noWrap/>
            <w:vAlign w:val="center"/>
            <w:hideMark/>
          </w:tcPr>
          <w:p w14:paraId="1B330B64"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Licencias </w:t>
            </w:r>
          </w:p>
        </w:tc>
        <w:tc>
          <w:tcPr>
            <w:tcW w:w="1600" w:type="dxa"/>
            <w:tcBorders>
              <w:top w:val="nil"/>
              <w:left w:val="nil"/>
              <w:bottom w:val="single" w:sz="8" w:space="0" w:color="auto"/>
              <w:right w:val="nil"/>
            </w:tcBorders>
            <w:shd w:val="clear" w:color="auto" w:fill="auto"/>
            <w:noWrap/>
            <w:vAlign w:val="center"/>
            <w:hideMark/>
          </w:tcPr>
          <w:p w14:paraId="1048C6EF"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w:t>
            </w:r>
          </w:p>
        </w:tc>
        <w:tc>
          <w:tcPr>
            <w:tcW w:w="2392" w:type="dxa"/>
            <w:tcBorders>
              <w:top w:val="nil"/>
              <w:left w:val="nil"/>
              <w:bottom w:val="single" w:sz="8" w:space="0" w:color="auto"/>
              <w:right w:val="nil"/>
            </w:tcBorders>
            <w:shd w:val="clear" w:color="auto" w:fill="auto"/>
            <w:noWrap/>
            <w:vAlign w:val="center"/>
            <w:hideMark/>
          </w:tcPr>
          <w:p w14:paraId="53047CDD"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31,226,658.87</w:t>
            </w:r>
          </w:p>
        </w:tc>
        <w:tc>
          <w:tcPr>
            <w:tcW w:w="2551" w:type="dxa"/>
            <w:tcBorders>
              <w:top w:val="nil"/>
              <w:left w:val="nil"/>
              <w:bottom w:val="single" w:sz="8" w:space="0" w:color="auto"/>
              <w:right w:val="nil"/>
            </w:tcBorders>
            <w:shd w:val="clear" w:color="auto" w:fill="auto"/>
            <w:noWrap/>
            <w:vAlign w:val="center"/>
            <w:hideMark/>
          </w:tcPr>
          <w:p w14:paraId="6E371368"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31,226,658.87 </w:t>
            </w:r>
          </w:p>
        </w:tc>
      </w:tr>
      <w:tr w:rsidR="00274DD3" w:rsidRPr="005732FC" w14:paraId="68FA1D90" w14:textId="77777777" w:rsidTr="008C77A6">
        <w:trPr>
          <w:trHeight w:val="20"/>
        </w:trPr>
        <w:tc>
          <w:tcPr>
            <w:tcW w:w="1820" w:type="dxa"/>
            <w:tcBorders>
              <w:top w:val="nil"/>
              <w:left w:val="nil"/>
              <w:bottom w:val="single" w:sz="8" w:space="0" w:color="auto"/>
              <w:right w:val="nil"/>
            </w:tcBorders>
            <w:shd w:val="clear" w:color="000000" w:fill="D9D9D9"/>
            <w:noWrap/>
            <w:vAlign w:val="center"/>
            <w:hideMark/>
          </w:tcPr>
          <w:p w14:paraId="110ECBD9" w14:textId="77777777" w:rsidR="00274DD3" w:rsidRPr="005732FC" w:rsidRDefault="00274DD3" w:rsidP="00274DD3">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D9D9D9"/>
            <w:noWrap/>
            <w:vAlign w:val="center"/>
            <w:hideMark/>
          </w:tcPr>
          <w:p w14:paraId="7FAEF954" w14:textId="77777777" w:rsidR="00274DD3" w:rsidRPr="005732FC" w:rsidRDefault="00274DD3" w:rsidP="00274DD3">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392" w:type="dxa"/>
            <w:tcBorders>
              <w:top w:val="nil"/>
              <w:left w:val="nil"/>
              <w:bottom w:val="single" w:sz="8" w:space="0" w:color="auto"/>
              <w:right w:val="nil"/>
            </w:tcBorders>
            <w:shd w:val="clear" w:color="000000" w:fill="D9D9D9"/>
            <w:noWrap/>
            <w:vAlign w:val="center"/>
            <w:hideMark/>
          </w:tcPr>
          <w:p w14:paraId="769FFFE0" w14:textId="77777777" w:rsidR="00274DD3" w:rsidRPr="005732FC" w:rsidRDefault="00274DD3" w:rsidP="00274DD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51,038,034.16</w:t>
            </w:r>
          </w:p>
        </w:tc>
        <w:tc>
          <w:tcPr>
            <w:tcW w:w="2551" w:type="dxa"/>
            <w:tcBorders>
              <w:top w:val="nil"/>
              <w:left w:val="nil"/>
              <w:bottom w:val="single" w:sz="8" w:space="0" w:color="auto"/>
              <w:right w:val="nil"/>
            </w:tcBorders>
            <w:shd w:val="clear" w:color="000000" w:fill="D9D9D9"/>
            <w:noWrap/>
            <w:vAlign w:val="center"/>
            <w:hideMark/>
          </w:tcPr>
          <w:p w14:paraId="73283805" w14:textId="77777777" w:rsidR="00274DD3" w:rsidRPr="005732FC" w:rsidRDefault="00274DD3" w:rsidP="00274DD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51,002,936.62 </w:t>
            </w:r>
          </w:p>
        </w:tc>
      </w:tr>
    </w:tbl>
    <w:p w14:paraId="5E4CFFFE" w14:textId="77777777" w:rsidR="00274DD3" w:rsidRPr="005732FC" w:rsidRDefault="00274DD3" w:rsidP="00274DD3">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p>
    <w:p w14:paraId="4B059594" w14:textId="77777777" w:rsidR="00274DD3" w:rsidRPr="005732FC" w:rsidRDefault="00274DD3" w:rsidP="00C87B49">
      <w:pPr>
        <w:keepNext/>
        <w:keepLines/>
        <w:numPr>
          <w:ilvl w:val="0"/>
          <w:numId w:val="40"/>
        </w:numPr>
        <w:spacing w:before="40" w:after="0"/>
        <w:ind w:left="0"/>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sz w:val="20"/>
          <w:szCs w:val="20"/>
        </w:rPr>
        <w:t>Depreciación, deterioro y amortización acumulada de bienes</w:t>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30483498" w14:textId="77777777" w:rsidR="00274DD3" w:rsidRPr="005732FC" w:rsidRDefault="00274DD3" w:rsidP="00274DD3">
      <w:pPr>
        <w:spacing w:after="0"/>
        <w:jc w:val="both"/>
        <w:rPr>
          <w:rFonts w:ascii="Arial" w:hAnsi="Arial" w:cs="Arial"/>
          <w:sz w:val="20"/>
          <w:szCs w:val="20"/>
        </w:rPr>
      </w:pPr>
    </w:p>
    <w:p w14:paraId="5D167F49" w14:textId="77777777" w:rsidR="00274DD3" w:rsidRPr="005732FC" w:rsidRDefault="00274DD3" w:rsidP="00274DD3">
      <w:pPr>
        <w:spacing w:after="0"/>
        <w:jc w:val="both"/>
        <w:rPr>
          <w:rFonts w:ascii="Arial" w:hAnsi="Arial" w:cs="Arial"/>
          <w:sz w:val="20"/>
          <w:szCs w:val="20"/>
        </w:rPr>
      </w:pPr>
      <w:r w:rsidRPr="005732FC">
        <w:rPr>
          <w:rFonts w:ascii="Arial" w:hAnsi="Arial" w:cs="Arial"/>
          <w:sz w:val="20"/>
          <w:szCs w:val="20"/>
        </w:rPr>
        <w:t>La cuenta de depreciaciones se integra al 30 de junio de 2025 como sigue:</w:t>
      </w:r>
    </w:p>
    <w:p w14:paraId="431E0C14" w14:textId="77777777" w:rsidR="00274DD3" w:rsidRPr="005732FC" w:rsidRDefault="00274DD3" w:rsidP="00274DD3">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3855"/>
        <w:gridCol w:w="653"/>
        <w:gridCol w:w="653"/>
        <w:gridCol w:w="2352"/>
        <w:gridCol w:w="2268"/>
      </w:tblGrid>
      <w:tr w:rsidR="00274DD3" w:rsidRPr="005732FC" w14:paraId="0D5EE7F8" w14:textId="77777777" w:rsidTr="008C77A6">
        <w:trPr>
          <w:trHeight w:val="20"/>
          <w:tblHeader/>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72C23F11" w14:textId="77777777" w:rsidR="00274DD3" w:rsidRPr="005732FC" w:rsidRDefault="00274DD3" w:rsidP="00274DD3">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20FA6D48" w14:textId="77777777" w:rsidR="00274DD3" w:rsidRPr="005732FC" w:rsidRDefault="00274DD3" w:rsidP="00274DD3">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423F319B" w14:textId="77777777" w:rsidR="00274DD3" w:rsidRPr="005732FC" w:rsidRDefault="00274DD3" w:rsidP="00274DD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274DD3" w:rsidRPr="005732FC" w14:paraId="5A4CF74C" w14:textId="77777777" w:rsidTr="008C77A6">
        <w:trPr>
          <w:trHeight w:val="20"/>
        </w:trPr>
        <w:tc>
          <w:tcPr>
            <w:tcW w:w="5161" w:type="dxa"/>
            <w:gridSpan w:val="3"/>
            <w:tcBorders>
              <w:top w:val="nil"/>
              <w:left w:val="nil"/>
              <w:bottom w:val="nil"/>
              <w:right w:val="nil"/>
            </w:tcBorders>
            <w:shd w:val="clear" w:color="auto" w:fill="auto"/>
            <w:noWrap/>
            <w:vAlign w:val="center"/>
            <w:hideMark/>
          </w:tcPr>
          <w:p w14:paraId="0CF5D4B6"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Depreciación Acumulada de Bienes Muebles </w:t>
            </w:r>
          </w:p>
        </w:tc>
        <w:tc>
          <w:tcPr>
            <w:tcW w:w="2352" w:type="dxa"/>
            <w:tcBorders>
              <w:top w:val="nil"/>
              <w:left w:val="nil"/>
              <w:bottom w:val="nil"/>
              <w:right w:val="nil"/>
            </w:tcBorders>
            <w:shd w:val="clear" w:color="auto" w:fill="auto"/>
            <w:noWrap/>
            <w:vAlign w:val="center"/>
            <w:hideMark/>
          </w:tcPr>
          <w:p w14:paraId="4DEE05C2"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1,068,766,741.25</w:t>
            </w:r>
          </w:p>
        </w:tc>
        <w:tc>
          <w:tcPr>
            <w:tcW w:w="2268" w:type="dxa"/>
            <w:tcBorders>
              <w:top w:val="nil"/>
              <w:left w:val="nil"/>
              <w:bottom w:val="nil"/>
              <w:right w:val="nil"/>
            </w:tcBorders>
            <w:shd w:val="clear" w:color="auto" w:fill="auto"/>
            <w:noWrap/>
            <w:vAlign w:val="center"/>
            <w:hideMark/>
          </w:tcPr>
          <w:p w14:paraId="3F5FD3CB"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1,022,764,986.80</w:t>
            </w:r>
          </w:p>
        </w:tc>
      </w:tr>
      <w:tr w:rsidR="00274DD3" w:rsidRPr="005732FC" w14:paraId="6DEA1CEC" w14:textId="77777777" w:rsidTr="008C77A6">
        <w:trPr>
          <w:trHeight w:val="20"/>
        </w:trPr>
        <w:tc>
          <w:tcPr>
            <w:tcW w:w="5161" w:type="dxa"/>
            <w:gridSpan w:val="3"/>
            <w:tcBorders>
              <w:top w:val="nil"/>
              <w:left w:val="nil"/>
              <w:bottom w:val="single" w:sz="8" w:space="0" w:color="auto"/>
              <w:right w:val="nil"/>
            </w:tcBorders>
            <w:shd w:val="clear" w:color="auto" w:fill="auto"/>
            <w:noWrap/>
            <w:vAlign w:val="center"/>
            <w:hideMark/>
          </w:tcPr>
          <w:p w14:paraId="55B815AB"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Amortización Acumulada de Activos Intangibles </w:t>
            </w:r>
          </w:p>
        </w:tc>
        <w:tc>
          <w:tcPr>
            <w:tcW w:w="2352" w:type="dxa"/>
            <w:tcBorders>
              <w:top w:val="nil"/>
              <w:left w:val="nil"/>
              <w:bottom w:val="single" w:sz="8" w:space="0" w:color="auto"/>
              <w:right w:val="nil"/>
            </w:tcBorders>
            <w:shd w:val="clear" w:color="auto" w:fill="auto"/>
            <w:noWrap/>
            <w:vAlign w:val="center"/>
            <w:hideMark/>
          </w:tcPr>
          <w:p w14:paraId="12243304"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         29,922,793.41</w:t>
            </w:r>
          </w:p>
        </w:tc>
        <w:tc>
          <w:tcPr>
            <w:tcW w:w="2268" w:type="dxa"/>
            <w:tcBorders>
              <w:top w:val="nil"/>
              <w:left w:val="nil"/>
              <w:bottom w:val="single" w:sz="8" w:space="0" w:color="auto"/>
              <w:right w:val="nil"/>
            </w:tcBorders>
            <w:shd w:val="clear" w:color="auto" w:fill="auto"/>
            <w:noWrap/>
            <w:vAlign w:val="center"/>
            <w:hideMark/>
          </w:tcPr>
          <w:p w14:paraId="11C5D787"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27,436,671.50 </w:t>
            </w:r>
          </w:p>
        </w:tc>
      </w:tr>
      <w:tr w:rsidR="00274DD3" w:rsidRPr="005732FC" w14:paraId="0A22459C" w14:textId="77777777" w:rsidTr="008C77A6">
        <w:trPr>
          <w:trHeight w:val="20"/>
        </w:trPr>
        <w:tc>
          <w:tcPr>
            <w:tcW w:w="3855" w:type="dxa"/>
            <w:tcBorders>
              <w:top w:val="nil"/>
              <w:left w:val="nil"/>
              <w:bottom w:val="single" w:sz="8" w:space="0" w:color="auto"/>
              <w:right w:val="nil"/>
            </w:tcBorders>
            <w:shd w:val="clear" w:color="000000" w:fill="D9D9D9"/>
            <w:noWrap/>
            <w:vAlign w:val="center"/>
            <w:hideMark/>
          </w:tcPr>
          <w:p w14:paraId="4964837E" w14:textId="77777777" w:rsidR="00274DD3" w:rsidRPr="005732FC" w:rsidRDefault="00274DD3" w:rsidP="00274DD3">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3015590F" w14:textId="77777777" w:rsidR="00274DD3" w:rsidRPr="005732FC" w:rsidRDefault="00274DD3" w:rsidP="00274DD3">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3E065796" w14:textId="77777777" w:rsidR="00274DD3" w:rsidRPr="005732FC" w:rsidRDefault="00274DD3" w:rsidP="00274DD3">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145AE5BE" w14:textId="77777777" w:rsidR="00274DD3" w:rsidRPr="005732FC" w:rsidRDefault="00274DD3" w:rsidP="00274DD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1,098,689,534.66</w:t>
            </w:r>
          </w:p>
        </w:tc>
        <w:tc>
          <w:tcPr>
            <w:tcW w:w="2268" w:type="dxa"/>
            <w:tcBorders>
              <w:top w:val="nil"/>
              <w:left w:val="nil"/>
              <w:bottom w:val="single" w:sz="8" w:space="0" w:color="auto"/>
              <w:right w:val="nil"/>
            </w:tcBorders>
            <w:shd w:val="clear" w:color="000000" w:fill="D9D9D9"/>
            <w:noWrap/>
            <w:vAlign w:val="center"/>
            <w:hideMark/>
          </w:tcPr>
          <w:p w14:paraId="7E2C721A" w14:textId="77777777" w:rsidR="00274DD3" w:rsidRPr="005732FC" w:rsidRDefault="00274DD3" w:rsidP="00274DD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1,050,201,658.30 </w:t>
            </w:r>
          </w:p>
        </w:tc>
      </w:tr>
    </w:tbl>
    <w:p w14:paraId="5FD53661" w14:textId="77777777" w:rsidR="00274DD3" w:rsidRPr="005732FC" w:rsidRDefault="00274DD3" w:rsidP="00274DD3">
      <w:pPr>
        <w:spacing w:after="0"/>
        <w:jc w:val="both"/>
        <w:rPr>
          <w:rFonts w:ascii="Arial" w:hAnsi="Arial" w:cs="Arial"/>
          <w:b/>
          <w:bCs/>
          <w:sz w:val="20"/>
          <w:szCs w:val="20"/>
        </w:rPr>
      </w:pPr>
    </w:p>
    <w:p w14:paraId="7938E88F" w14:textId="77777777" w:rsidR="00274DD3" w:rsidRPr="005732FC" w:rsidRDefault="00274DD3" w:rsidP="00274DD3">
      <w:pPr>
        <w:rPr>
          <w:rFonts w:ascii="Arial" w:hAnsi="Arial" w:cs="Arial"/>
          <w:b/>
          <w:bCs/>
          <w:sz w:val="20"/>
          <w:szCs w:val="20"/>
        </w:rPr>
      </w:pPr>
      <w:r w:rsidRPr="005732FC">
        <w:rPr>
          <w:rFonts w:ascii="Arial" w:hAnsi="Arial" w:cs="Arial"/>
          <w:b/>
          <w:bCs/>
          <w:sz w:val="20"/>
          <w:szCs w:val="20"/>
        </w:rPr>
        <w:t>Pasivo</w:t>
      </w:r>
    </w:p>
    <w:p w14:paraId="4FC2C813" w14:textId="77777777" w:rsidR="00AB28A7" w:rsidRPr="005732FC" w:rsidRDefault="00274DD3" w:rsidP="00AB28A7">
      <w:pPr>
        <w:keepNext/>
        <w:keepLines/>
        <w:numPr>
          <w:ilvl w:val="0"/>
          <w:numId w:val="40"/>
        </w:numPr>
        <w:spacing w:before="40" w:after="0"/>
        <w:ind w:left="0"/>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sz w:val="20"/>
          <w:szCs w:val="20"/>
        </w:rPr>
        <w:t>Cuentas por pagar a corto plazo</w:t>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5B8B6BBD" w14:textId="687B7176" w:rsidR="00274DD3" w:rsidRPr="005732FC" w:rsidRDefault="00274DD3" w:rsidP="00AB28A7">
      <w:pPr>
        <w:rPr>
          <w:rFonts w:ascii="Arial" w:eastAsiaTheme="majorEastAsia" w:hAnsi="Arial" w:cs="Arial"/>
          <w:b/>
          <w:bCs/>
          <w:color w:val="2F5496" w:themeColor="accent1" w:themeShade="BF"/>
          <w:sz w:val="20"/>
          <w:szCs w:val="20"/>
        </w:rPr>
      </w:pPr>
    </w:p>
    <w:p w14:paraId="0EB11D69" w14:textId="77777777" w:rsidR="00274DD3" w:rsidRPr="005732FC" w:rsidRDefault="00274DD3" w:rsidP="00274DD3">
      <w:pPr>
        <w:spacing w:after="0"/>
        <w:jc w:val="both"/>
        <w:rPr>
          <w:rFonts w:ascii="Arial" w:hAnsi="Arial" w:cs="Arial"/>
          <w:sz w:val="20"/>
          <w:szCs w:val="20"/>
        </w:rPr>
      </w:pPr>
      <w:r w:rsidRPr="005732FC">
        <w:rPr>
          <w:rFonts w:ascii="Arial" w:hAnsi="Arial" w:cs="Arial"/>
          <w:sz w:val="20"/>
          <w:szCs w:val="20"/>
        </w:rPr>
        <w:t>Las cuentas por pagar a corto plazo se integran al 30 de junio de 2025 como sigue:</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3816"/>
        <w:gridCol w:w="651"/>
        <w:gridCol w:w="651"/>
        <w:gridCol w:w="2212"/>
        <w:gridCol w:w="2474"/>
      </w:tblGrid>
      <w:tr w:rsidR="00274DD3" w:rsidRPr="005732FC" w14:paraId="3AA84363" w14:textId="77777777" w:rsidTr="008C77A6">
        <w:trPr>
          <w:trHeight w:val="20"/>
          <w:tblHeader/>
        </w:trPr>
        <w:tc>
          <w:tcPr>
            <w:tcW w:w="5118" w:type="dxa"/>
            <w:gridSpan w:val="3"/>
            <w:tcBorders>
              <w:top w:val="single" w:sz="8" w:space="0" w:color="auto"/>
              <w:left w:val="nil"/>
              <w:bottom w:val="single" w:sz="8" w:space="0" w:color="auto"/>
              <w:right w:val="nil"/>
            </w:tcBorders>
            <w:shd w:val="clear" w:color="000000" w:fill="D9D9D9"/>
            <w:noWrap/>
            <w:vAlign w:val="center"/>
            <w:hideMark/>
          </w:tcPr>
          <w:p w14:paraId="3BC20043" w14:textId="77777777" w:rsidR="00274DD3" w:rsidRPr="005732FC" w:rsidRDefault="00274DD3" w:rsidP="00274DD3">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212" w:type="dxa"/>
            <w:tcBorders>
              <w:top w:val="single" w:sz="8" w:space="0" w:color="auto"/>
              <w:left w:val="nil"/>
              <w:bottom w:val="single" w:sz="8" w:space="0" w:color="auto"/>
              <w:right w:val="nil"/>
            </w:tcBorders>
            <w:shd w:val="clear" w:color="000000" w:fill="D9D9D9"/>
            <w:vAlign w:val="center"/>
            <w:hideMark/>
          </w:tcPr>
          <w:p w14:paraId="1C90F03F" w14:textId="77777777" w:rsidR="00274DD3" w:rsidRPr="005732FC" w:rsidRDefault="00274DD3" w:rsidP="00274DD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451" w:type="dxa"/>
            <w:tcBorders>
              <w:top w:val="single" w:sz="8" w:space="0" w:color="auto"/>
              <w:left w:val="nil"/>
              <w:bottom w:val="single" w:sz="8" w:space="0" w:color="auto"/>
              <w:right w:val="nil"/>
            </w:tcBorders>
            <w:shd w:val="clear" w:color="000000" w:fill="D9D9D9"/>
            <w:vAlign w:val="center"/>
            <w:hideMark/>
          </w:tcPr>
          <w:p w14:paraId="7F5D558F" w14:textId="77777777" w:rsidR="00274DD3" w:rsidRPr="005732FC" w:rsidRDefault="00274DD3" w:rsidP="00274DD3">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31 de diciembre 2024</w:t>
            </w:r>
          </w:p>
        </w:tc>
      </w:tr>
      <w:tr w:rsidR="00274DD3" w:rsidRPr="005732FC" w14:paraId="51EA2A03" w14:textId="77777777" w:rsidTr="008C77A6">
        <w:trPr>
          <w:trHeight w:val="20"/>
        </w:trPr>
        <w:tc>
          <w:tcPr>
            <w:tcW w:w="5118" w:type="dxa"/>
            <w:gridSpan w:val="3"/>
            <w:tcBorders>
              <w:top w:val="nil"/>
              <w:left w:val="nil"/>
              <w:bottom w:val="nil"/>
              <w:right w:val="nil"/>
            </w:tcBorders>
            <w:shd w:val="clear" w:color="auto" w:fill="auto"/>
            <w:noWrap/>
            <w:vAlign w:val="center"/>
            <w:hideMark/>
          </w:tcPr>
          <w:p w14:paraId="642E114B"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Servicios Personales por Pagar a Corto plazo</w:t>
            </w:r>
          </w:p>
        </w:tc>
        <w:tc>
          <w:tcPr>
            <w:tcW w:w="2212" w:type="dxa"/>
            <w:tcBorders>
              <w:top w:val="nil"/>
              <w:left w:val="nil"/>
              <w:bottom w:val="nil"/>
              <w:right w:val="nil"/>
            </w:tcBorders>
            <w:shd w:val="clear" w:color="auto" w:fill="auto"/>
            <w:noWrap/>
            <w:vAlign w:val="center"/>
            <w:hideMark/>
          </w:tcPr>
          <w:p w14:paraId="565A4C67" w14:textId="21635CA3" w:rsidR="00274DD3" w:rsidRPr="005732FC" w:rsidRDefault="00AB28A7"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107,820,506.39</w:t>
            </w:r>
          </w:p>
        </w:tc>
        <w:tc>
          <w:tcPr>
            <w:tcW w:w="2451" w:type="dxa"/>
            <w:tcBorders>
              <w:top w:val="nil"/>
              <w:left w:val="nil"/>
              <w:bottom w:val="nil"/>
              <w:right w:val="nil"/>
            </w:tcBorders>
            <w:shd w:val="clear" w:color="auto" w:fill="auto"/>
            <w:noWrap/>
            <w:vAlign w:val="center"/>
            <w:hideMark/>
          </w:tcPr>
          <w:p w14:paraId="6131E34F" w14:textId="77777777" w:rsidR="00274DD3" w:rsidRPr="005732FC" w:rsidRDefault="00274DD3" w:rsidP="00274DD3">
            <w:pPr>
              <w:spacing w:after="0" w:line="240" w:lineRule="auto"/>
              <w:ind w:left="492"/>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191,086,558.85</w:t>
            </w:r>
          </w:p>
        </w:tc>
      </w:tr>
      <w:tr w:rsidR="00274DD3" w:rsidRPr="005732FC" w14:paraId="6729678B" w14:textId="77777777" w:rsidTr="008C77A6">
        <w:trPr>
          <w:trHeight w:val="20"/>
        </w:trPr>
        <w:tc>
          <w:tcPr>
            <w:tcW w:w="4467" w:type="dxa"/>
            <w:gridSpan w:val="2"/>
            <w:tcBorders>
              <w:top w:val="nil"/>
              <w:left w:val="nil"/>
              <w:bottom w:val="nil"/>
              <w:right w:val="nil"/>
            </w:tcBorders>
            <w:shd w:val="clear" w:color="auto" w:fill="auto"/>
            <w:noWrap/>
            <w:vAlign w:val="center"/>
            <w:hideMark/>
          </w:tcPr>
          <w:p w14:paraId="1F5A868A"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Proveedores por Pagar a Corto Plazo </w:t>
            </w:r>
          </w:p>
        </w:tc>
        <w:tc>
          <w:tcPr>
            <w:tcW w:w="651" w:type="dxa"/>
            <w:tcBorders>
              <w:top w:val="nil"/>
              <w:left w:val="nil"/>
              <w:bottom w:val="nil"/>
              <w:right w:val="nil"/>
            </w:tcBorders>
            <w:shd w:val="clear" w:color="auto" w:fill="auto"/>
            <w:noWrap/>
            <w:vAlign w:val="center"/>
            <w:hideMark/>
          </w:tcPr>
          <w:p w14:paraId="6EE8209D"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p>
        </w:tc>
        <w:tc>
          <w:tcPr>
            <w:tcW w:w="2212" w:type="dxa"/>
            <w:tcBorders>
              <w:top w:val="nil"/>
              <w:left w:val="nil"/>
              <w:bottom w:val="nil"/>
              <w:right w:val="nil"/>
            </w:tcBorders>
            <w:shd w:val="clear" w:color="auto" w:fill="auto"/>
            <w:noWrap/>
            <w:vAlign w:val="center"/>
            <w:hideMark/>
          </w:tcPr>
          <w:p w14:paraId="5A3827FC" w14:textId="54EDDA3D" w:rsidR="00274DD3" w:rsidRPr="005732FC" w:rsidRDefault="00AB28A7"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202,364,044.46</w:t>
            </w:r>
          </w:p>
        </w:tc>
        <w:tc>
          <w:tcPr>
            <w:tcW w:w="2451" w:type="dxa"/>
            <w:tcBorders>
              <w:top w:val="nil"/>
              <w:left w:val="nil"/>
              <w:bottom w:val="nil"/>
              <w:right w:val="nil"/>
            </w:tcBorders>
            <w:shd w:val="clear" w:color="auto" w:fill="auto"/>
            <w:noWrap/>
            <w:vAlign w:val="center"/>
            <w:hideMark/>
          </w:tcPr>
          <w:p w14:paraId="3762DF9D" w14:textId="77777777" w:rsidR="00274DD3" w:rsidRPr="005732FC" w:rsidRDefault="00274DD3" w:rsidP="00274DD3">
            <w:pPr>
              <w:spacing w:after="0" w:line="240" w:lineRule="auto"/>
              <w:ind w:left="492"/>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201,218,758.91</w:t>
            </w:r>
          </w:p>
        </w:tc>
      </w:tr>
      <w:tr w:rsidR="00274DD3" w:rsidRPr="005732FC" w14:paraId="311731A8" w14:textId="77777777" w:rsidTr="008C77A6">
        <w:trPr>
          <w:trHeight w:val="20"/>
        </w:trPr>
        <w:tc>
          <w:tcPr>
            <w:tcW w:w="5118" w:type="dxa"/>
            <w:gridSpan w:val="3"/>
            <w:tcBorders>
              <w:top w:val="nil"/>
              <w:left w:val="nil"/>
              <w:bottom w:val="nil"/>
              <w:right w:val="nil"/>
            </w:tcBorders>
            <w:shd w:val="clear" w:color="auto" w:fill="auto"/>
            <w:noWrap/>
            <w:vAlign w:val="center"/>
            <w:hideMark/>
          </w:tcPr>
          <w:p w14:paraId="3A7633B6"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Contratistas por Obras Públicas por Pagar a Corto Plazo</w:t>
            </w:r>
          </w:p>
        </w:tc>
        <w:tc>
          <w:tcPr>
            <w:tcW w:w="2212" w:type="dxa"/>
            <w:tcBorders>
              <w:top w:val="nil"/>
              <w:left w:val="nil"/>
              <w:bottom w:val="nil"/>
              <w:right w:val="nil"/>
            </w:tcBorders>
            <w:shd w:val="clear" w:color="auto" w:fill="auto"/>
            <w:noWrap/>
            <w:vAlign w:val="center"/>
            <w:hideMark/>
          </w:tcPr>
          <w:p w14:paraId="63AA9C64"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3,750,816.80</w:t>
            </w:r>
          </w:p>
        </w:tc>
        <w:tc>
          <w:tcPr>
            <w:tcW w:w="2451" w:type="dxa"/>
            <w:tcBorders>
              <w:top w:val="nil"/>
              <w:left w:val="nil"/>
              <w:bottom w:val="nil"/>
              <w:right w:val="nil"/>
            </w:tcBorders>
            <w:shd w:val="clear" w:color="auto" w:fill="auto"/>
            <w:noWrap/>
            <w:vAlign w:val="center"/>
            <w:hideMark/>
          </w:tcPr>
          <w:p w14:paraId="233E88EA" w14:textId="77777777" w:rsidR="00274DD3" w:rsidRPr="005732FC" w:rsidRDefault="00274DD3" w:rsidP="00274DD3">
            <w:pPr>
              <w:spacing w:after="0" w:line="240" w:lineRule="auto"/>
              <w:ind w:left="492"/>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185,739,478.76</w:t>
            </w:r>
          </w:p>
        </w:tc>
      </w:tr>
      <w:tr w:rsidR="00274DD3" w:rsidRPr="005732FC" w14:paraId="3DFF9065" w14:textId="77777777" w:rsidTr="008C77A6">
        <w:trPr>
          <w:trHeight w:val="20"/>
        </w:trPr>
        <w:tc>
          <w:tcPr>
            <w:tcW w:w="5118" w:type="dxa"/>
            <w:gridSpan w:val="3"/>
            <w:tcBorders>
              <w:top w:val="nil"/>
              <w:left w:val="nil"/>
              <w:bottom w:val="nil"/>
              <w:right w:val="nil"/>
            </w:tcBorders>
            <w:shd w:val="clear" w:color="auto" w:fill="auto"/>
            <w:noWrap/>
            <w:vAlign w:val="center"/>
            <w:hideMark/>
          </w:tcPr>
          <w:p w14:paraId="61D8B9CB"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Transferencias Otorgadas por Pagar a Corto Plazo</w:t>
            </w:r>
          </w:p>
        </w:tc>
        <w:tc>
          <w:tcPr>
            <w:tcW w:w="2212" w:type="dxa"/>
            <w:tcBorders>
              <w:top w:val="nil"/>
              <w:left w:val="nil"/>
              <w:bottom w:val="nil"/>
              <w:right w:val="nil"/>
            </w:tcBorders>
            <w:shd w:val="clear" w:color="auto" w:fill="auto"/>
            <w:noWrap/>
            <w:vAlign w:val="center"/>
            <w:hideMark/>
          </w:tcPr>
          <w:p w14:paraId="525C90B0" w14:textId="77777777" w:rsidR="00274DD3" w:rsidRPr="005732FC" w:rsidRDefault="00274DD3" w:rsidP="00274DD3">
            <w:pPr>
              <w:spacing w:after="0" w:line="240" w:lineRule="auto"/>
              <w:ind w:left="-38"/>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240,486,333.29</w:t>
            </w:r>
          </w:p>
        </w:tc>
        <w:tc>
          <w:tcPr>
            <w:tcW w:w="2451" w:type="dxa"/>
            <w:tcBorders>
              <w:top w:val="nil"/>
              <w:left w:val="nil"/>
              <w:bottom w:val="nil"/>
              <w:right w:val="nil"/>
            </w:tcBorders>
            <w:shd w:val="clear" w:color="auto" w:fill="auto"/>
            <w:noWrap/>
            <w:vAlign w:val="center"/>
            <w:hideMark/>
          </w:tcPr>
          <w:p w14:paraId="44279803" w14:textId="77777777" w:rsidR="00274DD3" w:rsidRPr="005732FC" w:rsidRDefault="00274DD3" w:rsidP="00274DD3">
            <w:pPr>
              <w:spacing w:after="0" w:line="240" w:lineRule="auto"/>
              <w:ind w:left="492"/>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217,969,799.34</w:t>
            </w:r>
          </w:p>
        </w:tc>
      </w:tr>
      <w:tr w:rsidR="00274DD3" w:rsidRPr="005732FC" w14:paraId="674C4E75" w14:textId="77777777" w:rsidTr="008C77A6">
        <w:trPr>
          <w:trHeight w:val="20"/>
        </w:trPr>
        <w:tc>
          <w:tcPr>
            <w:tcW w:w="5118" w:type="dxa"/>
            <w:gridSpan w:val="3"/>
            <w:tcBorders>
              <w:top w:val="nil"/>
              <w:left w:val="nil"/>
              <w:bottom w:val="nil"/>
              <w:right w:val="nil"/>
            </w:tcBorders>
            <w:shd w:val="clear" w:color="auto" w:fill="auto"/>
            <w:noWrap/>
            <w:vAlign w:val="center"/>
            <w:hideMark/>
          </w:tcPr>
          <w:p w14:paraId="10533C59"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Intereses, Comisiones y Otros Gastos de la Deuda Pública por Pagar a Corto Plazo</w:t>
            </w:r>
          </w:p>
        </w:tc>
        <w:tc>
          <w:tcPr>
            <w:tcW w:w="2212" w:type="dxa"/>
            <w:tcBorders>
              <w:top w:val="nil"/>
              <w:left w:val="nil"/>
              <w:bottom w:val="nil"/>
              <w:right w:val="nil"/>
            </w:tcBorders>
            <w:shd w:val="clear" w:color="auto" w:fill="auto"/>
            <w:noWrap/>
            <w:vAlign w:val="center"/>
            <w:hideMark/>
          </w:tcPr>
          <w:p w14:paraId="643EEB03" w14:textId="77777777" w:rsidR="00274DD3" w:rsidRPr="005732FC" w:rsidRDefault="00274DD3" w:rsidP="00274DD3">
            <w:pPr>
              <w:spacing w:after="0" w:line="240" w:lineRule="auto"/>
              <w:ind w:left="1059"/>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451" w:type="dxa"/>
            <w:tcBorders>
              <w:top w:val="nil"/>
              <w:left w:val="nil"/>
              <w:bottom w:val="nil"/>
              <w:right w:val="nil"/>
            </w:tcBorders>
            <w:shd w:val="clear" w:color="auto" w:fill="auto"/>
            <w:noWrap/>
            <w:vAlign w:val="center"/>
            <w:hideMark/>
          </w:tcPr>
          <w:p w14:paraId="5CCAB345" w14:textId="77777777" w:rsidR="00274DD3" w:rsidRPr="005732FC" w:rsidRDefault="00274DD3" w:rsidP="00274DD3">
            <w:pPr>
              <w:spacing w:after="0" w:line="240" w:lineRule="auto"/>
              <w:ind w:right="68"/>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274DD3" w:rsidRPr="005732FC" w14:paraId="1C2F44EA" w14:textId="77777777" w:rsidTr="008C77A6">
        <w:trPr>
          <w:trHeight w:val="20"/>
        </w:trPr>
        <w:tc>
          <w:tcPr>
            <w:tcW w:w="5118" w:type="dxa"/>
            <w:gridSpan w:val="3"/>
            <w:tcBorders>
              <w:top w:val="nil"/>
              <w:left w:val="nil"/>
              <w:bottom w:val="nil"/>
              <w:right w:val="nil"/>
            </w:tcBorders>
            <w:shd w:val="clear" w:color="auto" w:fill="auto"/>
            <w:noWrap/>
            <w:vAlign w:val="center"/>
            <w:hideMark/>
          </w:tcPr>
          <w:p w14:paraId="756ACA06"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Retenciones y Contribuciones Por Pagar a Corto Plazo</w:t>
            </w:r>
          </w:p>
        </w:tc>
        <w:tc>
          <w:tcPr>
            <w:tcW w:w="2212" w:type="dxa"/>
            <w:tcBorders>
              <w:top w:val="nil"/>
              <w:left w:val="nil"/>
              <w:bottom w:val="nil"/>
              <w:right w:val="nil"/>
            </w:tcBorders>
            <w:shd w:val="clear" w:color="auto" w:fill="auto"/>
            <w:noWrap/>
            <w:vAlign w:val="center"/>
            <w:hideMark/>
          </w:tcPr>
          <w:p w14:paraId="1CD53B1F"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83,605,491.33</w:t>
            </w:r>
          </w:p>
        </w:tc>
        <w:tc>
          <w:tcPr>
            <w:tcW w:w="2451" w:type="dxa"/>
            <w:tcBorders>
              <w:top w:val="nil"/>
              <w:left w:val="nil"/>
              <w:bottom w:val="nil"/>
              <w:right w:val="nil"/>
            </w:tcBorders>
            <w:shd w:val="clear" w:color="auto" w:fill="auto"/>
            <w:noWrap/>
            <w:vAlign w:val="center"/>
            <w:hideMark/>
          </w:tcPr>
          <w:p w14:paraId="3B49E051" w14:textId="77777777" w:rsidR="00274DD3" w:rsidRPr="005732FC" w:rsidRDefault="00274DD3" w:rsidP="00274DD3">
            <w:pPr>
              <w:spacing w:after="0" w:line="240" w:lineRule="auto"/>
              <w:ind w:left="492"/>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116,284,177.10</w:t>
            </w:r>
          </w:p>
        </w:tc>
      </w:tr>
      <w:tr w:rsidR="00274DD3" w:rsidRPr="005732FC" w14:paraId="71D4644A" w14:textId="77777777" w:rsidTr="008C77A6">
        <w:trPr>
          <w:trHeight w:val="20"/>
        </w:trPr>
        <w:tc>
          <w:tcPr>
            <w:tcW w:w="5118" w:type="dxa"/>
            <w:gridSpan w:val="3"/>
            <w:tcBorders>
              <w:top w:val="nil"/>
              <w:left w:val="nil"/>
              <w:bottom w:val="nil"/>
              <w:right w:val="nil"/>
            </w:tcBorders>
            <w:shd w:val="clear" w:color="auto" w:fill="auto"/>
            <w:noWrap/>
            <w:vAlign w:val="center"/>
            <w:hideMark/>
          </w:tcPr>
          <w:p w14:paraId="5C739568"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lastRenderedPageBreak/>
              <w:t>Devoluciones de la Ley de Ingresos Por Pagar a Corto Plazo</w:t>
            </w:r>
          </w:p>
        </w:tc>
        <w:tc>
          <w:tcPr>
            <w:tcW w:w="2212" w:type="dxa"/>
            <w:tcBorders>
              <w:top w:val="nil"/>
              <w:left w:val="nil"/>
              <w:bottom w:val="nil"/>
              <w:right w:val="nil"/>
            </w:tcBorders>
            <w:shd w:val="clear" w:color="auto" w:fill="auto"/>
            <w:noWrap/>
            <w:vAlign w:val="center"/>
            <w:hideMark/>
          </w:tcPr>
          <w:p w14:paraId="59378CCC"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7,256,702.80</w:t>
            </w:r>
          </w:p>
        </w:tc>
        <w:tc>
          <w:tcPr>
            <w:tcW w:w="2451" w:type="dxa"/>
            <w:tcBorders>
              <w:top w:val="nil"/>
              <w:left w:val="nil"/>
              <w:bottom w:val="nil"/>
              <w:right w:val="nil"/>
            </w:tcBorders>
            <w:shd w:val="clear" w:color="auto" w:fill="auto"/>
            <w:noWrap/>
            <w:vAlign w:val="center"/>
            <w:hideMark/>
          </w:tcPr>
          <w:p w14:paraId="43215C08" w14:textId="77777777" w:rsidR="00274DD3" w:rsidRPr="005732FC" w:rsidRDefault="00274DD3" w:rsidP="00274DD3">
            <w:pPr>
              <w:spacing w:after="0" w:line="240" w:lineRule="auto"/>
              <w:ind w:left="492"/>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8,801,150.05</w:t>
            </w:r>
          </w:p>
        </w:tc>
      </w:tr>
      <w:tr w:rsidR="00274DD3" w:rsidRPr="005732FC" w14:paraId="478359A8" w14:textId="77777777" w:rsidTr="008C77A6">
        <w:trPr>
          <w:trHeight w:val="20"/>
        </w:trPr>
        <w:tc>
          <w:tcPr>
            <w:tcW w:w="5118" w:type="dxa"/>
            <w:gridSpan w:val="3"/>
            <w:tcBorders>
              <w:top w:val="nil"/>
              <w:left w:val="nil"/>
              <w:bottom w:val="single" w:sz="8" w:space="0" w:color="auto"/>
              <w:right w:val="nil"/>
            </w:tcBorders>
            <w:shd w:val="clear" w:color="auto" w:fill="auto"/>
            <w:noWrap/>
            <w:vAlign w:val="center"/>
            <w:hideMark/>
          </w:tcPr>
          <w:p w14:paraId="7C184C5C" w14:textId="77777777" w:rsidR="00274DD3" w:rsidRPr="005732FC" w:rsidRDefault="00274DD3" w:rsidP="00274DD3">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Otras Cuentas Por Pagar a Corto Plazo</w:t>
            </w:r>
          </w:p>
        </w:tc>
        <w:tc>
          <w:tcPr>
            <w:tcW w:w="2212" w:type="dxa"/>
            <w:tcBorders>
              <w:top w:val="nil"/>
              <w:left w:val="nil"/>
              <w:bottom w:val="single" w:sz="8" w:space="0" w:color="auto"/>
              <w:right w:val="nil"/>
            </w:tcBorders>
            <w:shd w:val="clear" w:color="auto" w:fill="auto"/>
            <w:noWrap/>
            <w:vAlign w:val="center"/>
            <w:hideMark/>
          </w:tcPr>
          <w:p w14:paraId="4B3671C3" w14:textId="77777777" w:rsidR="00274DD3" w:rsidRPr="005732FC" w:rsidRDefault="00274DD3" w:rsidP="00274DD3">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102,485,071.99</w:t>
            </w:r>
          </w:p>
        </w:tc>
        <w:tc>
          <w:tcPr>
            <w:tcW w:w="2451" w:type="dxa"/>
            <w:tcBorders>
              <w:top w:val="nil"/>
              <w:left w:val="nil"/>
              <w:bottom w:val="single" w:sz="8" w:space="0" w:color="auto"/>
              <w:right w:val="nil"/>
            </w:tcBorders>
            <w:shd w:val="clear" w:color="auto" w:fill="auto"/>
            <w:noWrap/>
            <w:vAlign w:val="center"/>
            <w:hideMark/>
          </w:tcPr>
          <w:p w14:paraId="02B727ED" w14:textId="77777777" w:rsidR="00274DD3" w:rsidRPr="005732FC" w:rsidRDefault="00274DD3" w:rsidP="00274DD3">
            <w:pPr>
              <w:spacing w:after="0" w:line="240" w:lineRule="auto"/>
              <w:ind w:left="492"/>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110,136,578.26</w:t>
            </w:r>
          </w:p>
        </w:tc>
      </w:tr>
      <w:tr w:rsidR="00274DD3" w:rsidRPr="005732FC" w14:paraId="7E5DEC72" w14:textId="77777777" w:rsidTr="008C77A6">
        <w:trPr>
          <w:trHeight w:val="20"/>
        </w:trPr>
        <w:tc>
          <w:tcPr>
            <w:tcW w:w="3816" w:type="dxa"/>
            <w:tcBorders>
              <w:top w:val="nil"/>
              <w:left w:val="nil"/>
              <w:bottom w:val="single" w:sz="8" w:space="0" w:color="auto"/>
              <w:right w:val="nil"/>
            </w:tcBorders>
            <w:shd w:val="clear" w:color="000000" w:fill="D9D9D9"/>
            <w:noWrap/>
            <w:vAlign w:val="center"/>
            <w:hideMark/>
          </w:tcPr>
          <w:p w14:paraId="15136278" w14:textId="77777777" w:rsidR="00274DD3" w:rsidRPr="005732FC" w:rsidRDefault="00274DD3" w:rsidP="00274DD3">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651" w:type="dxa"/>
            <w:tcBorders>
              <w:top w:val="nil"/>
              <w:left w:val="nil"/>
              <w:bottom w:val="single" w:sz="8" w:space="0" w:color="auto"/>
              <w:right w:val="nil"/>
            </w:tcBorders>
            <w:shd w:val="clear" w:color="000000" w:fill="D9D9D9"/>
            <w:noWrap/>
            <w:vAlign w:val="center"/>
            <w:hideMark/>
          </w:tcPr>
          <w:p w14:paraId="23B5574F" w14:textId="77777777" w:rsidR="00274DD3" w:rsidRPr="005732FC" w:rsidRDefault="00274DD3" w:rsidP="00274DD3">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651" w:type="dxa"/>
            <w:tcBorders>
              <w:top w:val="nil"/>
              <w:left w:val="nil"/>
              <w:bottom w:val="single" w:sz="8" w:space="0" w:color="auto"/>
              <w:right w:val="nil"/>
            </w:tcBorders>
            <w:shd w:val="clear" w:color="000000" w:fill="D9D9D9"/>
            <w:noWrap/>
            <w:vAlign w:val="center"/>
            <w:hideMark/>
          </w:tcPr>
          <w:p w14:paraId="7EE330A3" w14:textId="77777777" w:rsidR="00274DD3" w:rsidRPr="005732FC" w:rsidRDefault="00274DD3" w:rsidP="00274DD3">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212" w:type="dxa"/>
            <w:tcBorders>
              <w:top w:val="nil"/>
              <w:left w:val="nil"/>
              <w:bottom w:val="single" w:sz="8" w:space="0" w:color="auto"/>
              <w:right w:val="nil"/>
            </w:tcBorders>
            <w:shd w:val="clear" w:color="000000" w:fill="D9D9D9"/>
            <w:noWrap/>
            <w:vAlign w:val="center"/>
            <w:hideMark/>
          </w:tcPr>
          <w:p w14:paraId="6CCDCD3B" w14:textId="08FC8340" w:rsidR="00274DD3" w:rsidRPr="005732FC" w:rsidRDefault="002D218A" w:rsidP="00274DD3">
            <w:pPr>
              <w:spacing w:after="0" w:line="240" w:lineRule="auto"/>
              <w:ind w:left="245"/>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747,768,967.06</w:t>
            </w:r>
          </w:p>
        </w:tc>
        <w:tc>
          <w:tcPr>
            <w:tcW w:w="2451" w:type="dxa"/>
            <w:tcBorders>
              <w:top w:val="nil"/>
              <w:left w:val="nil"/>
              <w:bottom w:val="single" w:sz="8" w:space="0" w:color="auto"/>
              <w:right w:val="nil"/>
            </w:tcBorders>
            <w:shd w:val="clear" w:color="000000" w:fill="D9D9D9"/>
            <w:noWrap/>
            <w:vAlign w:val="center"/>
            <w:hideMark/>
          </w:tcPr>
          <w:p w14:paraId="2E473F8E" w14:textId="77777777" w:rsidR="00274DD3" w:rsidRPr="005732FC" w:rsidRDefault="00274DD3" w:rsidP="00274DD3">
            <w:pPr>
              <w:spacing w:after="0" w:line="240" w:lineRule="auto"/>
              <w:ind w:left="776"/>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1,031,236,501.27</w:t>
            </w:r>
          </w:p>
        </w:tc>
      </w:tr>
    </w:tbl>
    <w:p w14:paraId="7444C4A7" w14:textId="77777777" w:rsidR="00274DD3" w:rsidRPr="005732FC" w:rsidRDefault="00274DD3" w:rsidP="00274DD3">
      <w:pPr>
        <w:spacing w:after="0"/>
        <w:jc w:val="both"/>
        <w:rPr>
          <w:rFonts w:ascii="Arial" w:hAnsi="Arial" w:cs="Arial"/>
          <w:sz w:val="20"/>
          <w:szCs w:val="20"/>
        </w:rPr>
      </w:pPr>
    </w:p>
    <w:p w14:paraId="3CB1BE4A" w14:textId="77777777" w:rsidR="008E712A" w:rsidRPr="005732FC" w:rsidRDefault="008E712A" w:rsidP="00C04AE8">
      <w:pPr>
        <w:spacing w:after="0"/>
        <w:jc w:val="both"/>
        <w:rPr>
          <w:rFonts w:ascii="Arial" w:hAnsi="Arial" w:cs="Arial"/>
          <w:sz w:val="20"/>
          <w:szCs w:val="20"/>
        </w:rPr>
      </w:pPr>
    </w:p>
    <w:p w14:paraId="773C2842" w14:textId="13EDCAAF" w:rsidR="00F05338" w:rsidRPr="005732FC" w:rsidRDefault="00BA3347" w:rsidP="00C87B49">
      <w:pPr>
        <w:pStyle w:val="Ttulo2"/>
        <w:numPr>
          <w:ilvl w:val="0"/>
          <w:numId w:val="40"/>
        </w:numPr>
        <w:ind w:left="0"/>
        <w:rPr>
          <w:rFonts w:ascii="Arial" w:hAnsi="Arial" w:cs="Arial"/>
          <w:sz w:val="20"/>
          <w:szCs w:val="20"/>
        </w:rPr>
      </w:pPr>
      <w:r w:rsidRPr="005732FC">
        <w:rPr>
          <w:rFonts w:ascii="Arial" w:hAnsi="Arial" w:cs="Arial"/>
          <w:b/>
          <w:bCs/>
          <w:color w:val="auto"/>
          <w:sz w:val="20"/>
          <w:szCs w:val="20"/>
        </w:rPr>
        <w:t>Porción a corto plazo de la deuda pública a largo plazo</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59E176BE" w14:textId="2F7B3600"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22EBEEE"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Al 30 de junio del 2025, este rubro presenta un saldo de $20,160,187.12 y representa la provisión de los adeudos por amortizar de la deuda pública interna, que se deberá pagar en un plazo menor o igual a doce meses. En 2025 se estimó un pago total anual por un importe de $38,817,018.50 mismo que tendrá una disminución mensual hasta el término del presente ejercicio fiscal; dicho monto fue determinado con base en las cifras estimadas proporcionadas por Banco Azteca crédito 960500528 y BBVA Bancomer crédito 9884444367 en relación con la tabla de amortización de pagos correspondientes de dichos créditos contratados:</w:t>
      </w:r>
    </w:p>
    <w:p w14:paraId="7711CF6B" w14:textId="77777777" w:rsidR="00CE483E" w:rsidRPr="005732FC" w:rsidRDefault="00CE483E" w:rsidP="00CE48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9686" w:type="dxa"/>
        <w:tblCellMar>
          <w:left w:w="70" w:type="dxa"/>
          <w:right w:w="70" w:type="dxa"/>
        </w:tblCellMar>
        <w:tblLook w:val="04A0" w:firstRow="1" w:lastRow="0" w:firstColumn="1" w:lastColumn="0" w:noHBand="0" w:noVBand="1"/>
      </w:tblPr>
      <w:tblGrid>
        <w:gridCol w:w="3855"/>
        <w:gridCol w:w="653"/>
        <w:gridCol w:w="653"/>
        <w:gridCol w:w="2352"/>
        <w:gridCol w:w="2173"/>
      </w:tblGrid>
      <w:tr w:rsidR="0099016A" w:rsidRPr="005732FC" w14:paraId="7BA0A3AF" w14:textId="77777777" w:rsidTr="008C77A6">
        <w:trPr>
          <w:trHeight w:val="20"/>
          <w:tblHeader/>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5456AEEF" w14:textId="77777777" w:rsidR="0099016A" w:rsidRPr="005732FC" w:rsidRDefault="0099016A"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1C81E5E0" w14:textId="77777777" w:rsidR="0099016A" w:rsidRPr="005732FC" w:rsidRDefault="0099016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173" w:type="dxa"/>
            <w:tcBorders>
              <w:top w:val="single" w:sz="8" w:space="0" w:color="auto"/>
              <w:left w:val="nil"/>
              <w:bottom w:val="single" w:sz="8" w:space="0" w:color="auto"/>
              <w:right w:val="nil"/>
            </w:tcBorders>
            <w:shd w:val="clear" w:color="000000" w:fill="D9D9D9"/>
            <w:vAlign w:val="center"/>
            <w:hideMark/>
          </w:tcPr>
          <w:p w14:paraId="3E5C727B" w14:textId="77777777" w:rsidR="0099016A" w:rsidRPr="005732FC" w:rsidRDefault="0099016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99016A" w:rsidRPr="005732FC" w14:paraId="39B36509" w14:textId="77777777" w:rsidTr="008C77A6">
        <w:trPr>
          <w:trHeight w:val="20"/>
        </w:trPr>
        <w:tc>
          <w:tcPr>
            <w:tcW w:w="5161" w:type="dxa"/>
            <w:gridSpan w:val="3"/>
            <w:tcBorders>
              <w:top w:val="nil"/>
              <w:left w:val="nil"/>
              <w:bottom w:val="single" w:sz="8" w:space="0" w:color="auto"/>
              <w:right w:val="nil"/>
            </w:tcBorders>
            <w:shd w:val="clear" w:color="auto" w:fill="auto"/>
            <w:noWrap/>
            <w:vAlign w:val="center"/>
            <w:hideMark/>
          </w:tcPr>
          <w:p w14:paraId="5CB469F5" w14:textId="77777777" w:rsidR="0099016A" w:rsidRPr="005732FC" w:rsidRDefault="0099016A"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Porción a Corto Plazo de la Deuda Pública Interna</w:t>
            </w:r>
          </w:p>
        </w:tc>
        <w:tc>
          <w:tcPr>
            <w:tcW w:w="2352" w:type="dxa"/>
            <w:tcBorders>
              <w:top w:val="nil"/>
              <w:left w:val="nil"/>
              <w:bottom w:val="single" w:sz="8" w:space="0" w:color="auto"/>
              <w:right w:val="nil"/>
            </w:tcBorders>
            <w:shd w:val="clear" w:color="auto" w:fill="auto"/>
            <w:noWrap/>
            <w:vAlign w:val="center"/>
            <w:hideMark/>
          </w:tcPr>
          <w:p w14:paraId="1051BFBD" w14:textId="77777777" w:rsidR="0099016A" w:rsidRPr="005732FC" w:rsidRDefault="0099016A"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20,160,187.12 </w:t>
            </w:r>
          </w:p>
        </w:tc>
        <w:tc>
          <w:tcPr>
            <w:tcW w:w="2173" w:type="dxa"/>
            <w:tcBorders>
              <w:top w:val="nil"/>
              <w:left w:val="nil"/>
              <w:bottom w:val="single" w:sz="8" w:space="0" w:color="auto"/>
              <w:right w:val="nil"/>
            </w:tcBorders>
            <w:shd w:val="clear" w:color="auto" w:fill="auto"/>
            <w:noWrap/>
            <w:vAlign w:val="center"/>
            <w:hideMark/>
          </w:tcPr>
          <w:p w14:paraId="2B356012" w14:textId="77777777" w:rsidR="0099016A" w:rsidRPr="005732FC" w:rsidRDefault="0099016A"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0.00 </w:t>
            </w:r>
          </w:p>
        </w:tc>
      </w:tr>
      <w:tr w:rsidR="0099016A" w:rsidRPr="005732FC" w14:paraId="12DADE96" w14:textId="77777777" w:rsidTr="008C77A6">
        <w:trPr>
          <w:trHeight w:val="20"/>
        </w:trPr>
        <w:tc>
          <w:tcPr>
            <w:tcW w:w="3855" w:type="dxa"/>
            <w:tcBorders>
              <w:top w:val="nil"/>
              <w:left w:val="nil"/>
              <w:bottom w:val="single" w:sz="8" w:space="0" w:color="auto"/>
              <w:right w:val="nil"/>
            </w:tcBorders>
            <w:shd w:val="clear" w:color="000000" w:fill="D9D9D9"/>
            <w:noWrap/>
            <w:vAlign w:val="center"/>
            <w:hideMark/>
          </w:tcPr>
          <w:p w14:paraId="3237E396" w14:textId="77777777" w:rsidR="0099016A" w:rsidRPr="005732FC" w:rsidRDefault="0099016A"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2522B8C0" w14:textId="77777777" w:rsidR="0099016A" w:rsidRPr="005732FC" w:rsidRDefault="0099016A"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40166DA0" w14:textId="77777777" w:rsidR="0099016A" w:rsidRPr="005732FC" w:rsidRDefault="0099016A"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37785EBA" w14:textId="77777777" w:rsidR="0099016A" w:rsidRPr="005732FC" w:rsidRDefault="0099016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20,160,187.12 </w:t>
            </w:r>
          </w:p>
        </w:tc>
        <w:tc>
          <w:tcPr>
            <w:tcW w:w="2173" w:type="dxa"/>
            <w:tcBorders>
              <w:top w:val="nil"/>
              <w:left w:val="nil"/>
              <w:bottom w:val="single" w:sz="8" w:space="0" w:color="auto"/>
              <w:right w:val="nil"/>
            </w:tcBorders>
            <w:shd w:val="clear" w:color="000000" w:fill="D9D9D9"/>
            <w:noWrap/>
            <w:vAlign w:val="center"/>
            <w:hideMark/>
          </w:tcPr>
          <w:p w14:paraId="1FD6E9FA" w14:textId="77777777" w:rsidR="0099016A" w:rsidRPr="005732FC" w:rsidRDefault="0099016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0.00 </w:t>
            </w:r>
          </w:p>
        </w:tc>
      </w:tr>
    </w:tbl>
    <w:p w14:paraId="669CC6B2" w14:textId="77777777" w:rsidR="005D271E" w:rsidRPr="005732FC" w:rsidRDefault="005D271E" w:rsidP="00ED6163">
      <w:pPr>
        <w:rPr>
          <w:rFonts w:ascii="Arial" w:hAnsi="Arial" w:cs="Arial"/>
          <w:b/>
          <w:bCs/>
          <w:sz w:val="20"/>
          <w:szCs w:val="20"/>
        </w:rPr>
      </w:pPr>
    </w:p>
    <w:p w14:paraId="1360BA35" w14:textId="77777777" w:rsidR="00CE6820" w:rsidRPr="005732FC" w:rsidRDefault="00CE6820" w:rsidP="00C87B49">
      <w:pPr>
        <w:keepNext/>
        <w:keepLines/>
        <w:numPr>
          <w:ilvl w:val="0"/>
          <w:numId w:val="40"/>
        </w:numPr>
        <w:spacing w:before="40" w:after="0"/>
        <w:ind w:left="0"/>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sz w:val="20"/>
          <w:szCs w:val="20"/>
        </w:rPr>
        <w:t>Pasivos diferidos</w:t>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00D44E90" w14:textId="77777777" w:rsidR="00CE6820" w:rsidRPr="005732FC" w:rsidRDefault="00CE6820" w:rsidP="00CE6820">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BD68C7A" w14:textId="77777777" w:rsidR="00CE6820" w:rsidRPr="005732FC" w:rsidRDefault="00CE6820" w:rsidP="00CE6820">
      <w:pPr>
        <w:spacing w:after="0"/>
        <w:jc w:val="both"/>
        <w:rPr>
          <w:rFonts w:ascii="Arial" w:hAnsi="Arial" w:cs="Arial"/>
          <w:sz w:val="20"/>
          <w:szCs w:val="20"/>
        </w:rPr>
      </w:pPr>
      <w:bookmarkStart w:id="11" w:name="_Hlk182934250"/>
      <w:r w:rsidRPr="005732FC">
        <w:rPr>
          <w:rFonts w:ascii="Arial" w:hAnsi="Arial" w:cs="Arial"/>
          <w:sz w:val="20"/>
          <w:szCs w:val="20"/>
        </w:rPr>
        <w:t>El saldo de esta cuenta al 30 de junio de 2025, es el siguiente:</w:t>
      </w:r>
    </w:p>
    <w:p w14:paraId="20D81DEF" w14:textId="77777777" w:rsidR="00CE6820" w:rsidRPr="005732FC" w:rsidRDefault="00CE6820" w:rsidP="00CE6820">
      <w:pPr>
        <w:spacing w:after="0"/>
        <w:jc w:val="both"/>
        <w:rPr>
          <w:rFonts w:ascii="Arial" w:hAnsi="Arial" w:cs="Arial"/>
          <w:sz w:val="20"/>
          <w:szCs w:val="20"/>
        </w:rPr>
      </w:pPr>
    </w:p>
    <w:tbl>
      <w:tblPr>
        <w:tblW w:w="9907" w:type="dxa"/>
        <w:tblCellMar>
          <w:left w:w="70" w:type="dxa"/>
          <w:right w:w="70" w:type="dxa"/>
        </w:tblCellMar>
        <w:tblLook w:val="04A0" w:firstRow="1" w:lastRow="0" w:firstColumn="1" w:lastColumn="0" w:noHBand="0" w:noVBand="1"/>
      </w:tblPr>
      <w:tblGrid>
        <w:gridCol w:w="3993"/>
        <w:gridCol w:w="676"/>
        <w:gridCol w:w="677"/>
        <w:gridCol w:w="2309"/>
        <w:gridCol w:w="2252"/>
      </w:tblGrid>
      <w:tr w:rsidR="00CE6820" w:rsidRPr="005732FC" w14:paraId="0326910F" w14:textId="77777777" w:rsidTr="008C77A6">
        <w:trPr>
          <w:trHeight w:val="88"/>
          <w:tblHeader/>
        </w:trPr>
        <w:tc>
          <w:tcPr>
            <w:tcW w:w="5346" w:type="dxa"/>
            <w:gridSpan w:val="3"/>
            <w:tcBorders>
              <w:top w:val="single" w:sz="8" w:space="0" w:color="auto"/>
              <w:left w:val="nil"/>
              <w:bottom w:val="single" w:sz="8" w:space="0" w:color="auto"/>
              <w:right w:val="nil"/>
            </w:tcBorders>
            <w:shd w:val="clear" w:color="000000" w:fill="D9D9D9"/>
            <w:noWrap/>
            <w:vAlign w:val="center"/>
            <w:hideMark/>
          </w:tcPr>
          <w:bookmarkEnd w:id="11"/>
          <w:p w14:paraId="1E011159" w14:textId="77777777" w:rsidR="00CE6820" w:rsidRPr="005732FC" w:rsidRDefault="00CE6820" w:rsidP="00CE6820">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309" w:type="dxa"/>
            <w:tcBorders>
              <w:top w:val="single" w:sz="8" w:space="0" w:color="auto"/>
              <w:left w:val="nil"/>
              <w:bottom w:val="single" w:sz="8" w:space="0" w:color="auto"/>
              <w:right w:val="nil"/>
            </w:tcBorders>
            <w:shd w:val="clear" w:color="000000" w:fill="D9D9D9"/>
            <w:vAlign w:val="center"/>
            <w:hideMark/>
          </w:tcPr>
          <w:p w14:paraId="2A034DAA" w14:textId="77777777" w:rsidR="00CE6820" w:rsidRPr="005732FC" w:rsidRDefault="00CE6820" w:rsidP="00CE6820">
            <w:pPr>
              <w:spacing w:after="0" w:line="240" w:lineRule="auto"/>
              <w:ind w:left="-170" w:firstLine="170"/>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52" w:type="dxa"/>
            <w:tcBorders>
              <w:top w:val="single" w:sz="8" w:space="0" w:color="auto"/>
              <w:left w:val="nil"/>
              <w:bottom w:val="single" w:sz="8" w:space="0" w:color="auto"/>
              <w:right w:val="nil"/>
            </w:tcBorders>
            <w:shd w:val="clear" w:color="000000" w:fill="D9D9D9"/>
            <w:vAlign w:val="center"/>
            <w:hideMark/>
          </w:tcPr>
          <w:p w14:paraId="5BC72D6D" w14:textId="77777777" w:rsidR="00CE6820" w:rsidRPr="005732FC" w:rsidRDefault="00CE6820" w:rsidP="00CE6820">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31 de diciembre 2024  </w:t>
            </w:r>
          </w:p>
        </w:tc>
      </w:tr>
      <w:tr w:rsidR="00CE6820" w:rsidRPr="005732FC" w14:paraId="7764D9BC" w14:textId="77777777" w:rsidTr="008C77A6">
        <w:trPr>
          <w:trHeight w:val="88"/>
        </w:trPr>
        <w:tc>
          <w:tcPr>
            <w:tcW w:w="5346" w:type="dxa"/>
            <w:gridSpan w:val="3"/>
            <w:tcBorders>
              <w:top w:val="nil"/>
              <w:left w:val="nil"/>
              <w:bottom w:val="single" w:sz="8" w:space="0" w:color="auto"/>
              <w:right w:val="nil"/>
            </w:tcBorders>
            <w:noWrap/>
            <w:vAlign w:val="center"/>
            <w:hideMark/>
          </w:tcPr>
          <w:p w14:paraId="7997937C" w14:textId="77777777" w:rsidR="00CE6820" w:rsidRPr="005732FC" w:rsidRDefault="00CE6820" w:rsidP="00CE6820">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Ingresos Cobrados por Adelantado a Corto Plazo</w:t>
            </w:r>
          </w:p>
        </w:tc>
        <w:tc>
          <w:tcPr>
            <w:tcW w:w="2309" w:type="dxa"/>
            <w:tcBorders>
              <w:top w:val="nil"/>
              <w:left w:val="nil"/>
              <w:bottom w:val="single" w:sz="8" w:space="0" w:color="auto"/>
              <w:right w:val="nil"/>
            </w:tcBorders>
            <w:noWrap/>
            <w:vAlign w:val="center"/>
            <w:hideMark/>
          </w:tcPr>
          <w:p w14:paraId="4701EE3D" w14:textId="77777777" w:rsidR="00CE6820" w:rsidRPr="005732FC" w:rsidRDefault="00CE6820" w:rsidP="00CE6820">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52" w:type="dxa"/>
            <w:tcBorders>
              <w:top w:val="nil"/>
              <w:left w:val="nil"/>
              <w:bottom w:val="single" w:sz="8" w:space="0" w:color="auto"/>
              <w:right w:val="nil"/>
            </w:tcBorders>
            <w:noWrap/>
            <w:vAlign w:val="center"/>
            <w:hideMark/>
          </w:tcPr>
          <w:p w14:paraId="301D842F" w14:textId="77777777" w:rsidR="00CE6820" w:rsidRPr="005732FC" w:rsidRDefault="00CE6820" w:rsidP="00CE6820">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0.00</w:t>
            </w:r>
          </w:p>
        </w:tc>
      </w:tr>
      <w:tr w:rsidR="00CE6820" w:rsidRPr="005732FC" w14:paraId="424DC05E" w14:textId="77777777" w:rsidTr="008C77A6">
        <w:trPr>
          <w:trHeight w:val="88"/>
        </w:trPr>
        <w:tc>
          <w:tcPr>
            <w:tcW w:w="3993" w:type="dxa"/>
            <w:tcBorders>
              <w:top w:val="nil"/>
              <w:left w:val="nil"/>
              <w:bottom w:val="single" w:sz="8" w:space="0" w:color="auto"/>
              <w:right w:val="nil"/>
            </w:tcBorders>
            <w:shd w:val="clear" w:color="000000" w:fill="D9D9D9"/>
            <w:noWrap/>
            <w:vAlign w:val="center"/>
            <w:hideMark/>
          </w:tcPr>
          <w:p w14:paraId="7301F941" w14:textId="77777777" w:rsidR="00CE6820" w:rsidRPr="005732FC" w:rsidRDefault="00CE6820" w:rsidP="00CE6820">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676" w:type="dxa"/>
            <w:tcBorders>
              <w:top w:val="nil"/>
              <w:left w:val="nil"/>
              <w:bottom w:val="single" w:sz="8" w:space="0" w:color="auto"/>
              <w:right w:val="nil"/>
            </w:tcBorders>
            <w:shd w:val="clear" w:color="000000" w:fill="D9D9D9"/>
            <w:noWrap/>
            <w:vAlign w:val="center"/>
            <w:hideMark/>
          </w:tcPr>
          <w:p w14:paraId="2DC42B79" w14:textId="77777777" w:rsidR="00CE6820" w:rsidRPr="005732FC" w:rsidRDefault="00CE6820" w:rsidP="00CE6820">
            <w:pPr>
              <w:spacing w:after="0" w:line="240" w:lineRule="auto"/>
              <w:rPr>
                <w:rFonts w:ascii="Arial" w:eastAsia="Times New Roman" w:hAnsi="Arial" w:cs="Arial"/>
                <w:b/>
                <w:bCs/>
                <w:color w:val="000000"/>
                <w:kern w:val="0"/>
                <w:sz w:val="20"/>
                <w:szCs w:val="20"/>
                <w:lang w:eastAsia="es-MX"/>
                <w14:ligatures w14:val="none"/>
              </w:rPr>
            </w:pPr>
          </w:p>
        </w:tc>
        <w:tc>
          <w:tcPr>
            <w:tcW w:w="677" w:type="dxa"/>
            <w:tcBorders>
              <w:top w:val="nil"/>
              <w:left w:val="nil"/>
              <w:bottom w:val="single" w:sz="8" w:space="0" w:color="auto"/>
              <w:right w:val="nil"/>
            </w:tcBorders>
            <w:shd w:val="clear" w:color="000000" w:fill="D9D9D9"/>
            <w:noWrap/>
            <w:vAlign w:val="center"/>
            <w:hideMark/>
          </w:tcPr>
          <w:p w14:paraId="59C49A58" w14:textId="77777777" w:rsidR="00CE6820" w:rsidRPr="005732FC" w:rsidRDefault="00CE6820" w:rsidP="00CE6820">
            <w:pPr>
              <w:spacing w:after="0" w:line="240" w:lineRule="auto"/>
              <w:rPr>
                <w:rFonts w:ascii="Arial" w:eastAsia="Times New Roman" w:hAnsi="Arial" w:cs="Arial"/>
                <w:b/>
                <w:bCs/>
                <w:color w:val="000000"/>
                <w:kern w:val="0"/>
                <w:sz w:val="20"/>
                <w:szCs w:val="20"/>
                <w:lang w:eastAsia="es-MX"/>
                <w14:ligatures w14:val="none"/>
              </w:rPr>
            </w:pPr>
          </w:p>
        </w:tc>
        <w:tc>
          <w:tcPr>
            <w:tcW w:w="2309" w:type="dxa"/>
            <w:tcBorders>
              <w:top w:val="nil"/>
              <w:left w:val="nil"/>
              <w:bottom w:val="single" w:sz="8" w:space="0" w:color="auto"/>
              <w:right w:val="nil"/>
            </w:tcBorders>
            <w:shd w:val="clear" w:color="000000" w:fill="D9D9D9"/>
            <w:noWrap/>
            <w:vAlign w:val="center"/>
            <w:hideMark/>
          </w:tcPr>
          <w:p w14:paraId="6662168E" w14:textId="77777777" w:rsidR="00CE6820" w:rsidRPr="005732FC" w:rsidRDefault="00CE6820" w:rsidP="00CE6820">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0.00</w:t>
            </w:r>
          </w:p>
        </w:tc>
        <w:tc>
          <w:tcPr>
            <w:tcW w:w="2252" w:type="dxa"/>
            <w:tcBorders>
              <w:top w:val="nil"/>
              <w:left w:val="nil"/>
              <w:bottom w:val="single" w:sz="8" w:space="0" w:color="auto"/>
              <w:right w:val="nil"/>
            </w:tcBorders>
            <w:shd w:val="clear" w:color="000000" w:fill="D9D9D9"/>
            <w:noWrap/>
            <w:vAlign w:val="center"/>
            <w:hideMark/>
          </w:tcPr>
          <w:p w14:paraId="5C0837B3" w14:textId="77777777" w:rsidR="00CE6820" w:rsidRPr="005732FC" w:rsidRDefault="00CE6820" w:rsidP="00CE6820">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0.00</w:t>
            </w:r>
          </w:p>
        </w:tc>
      </w:tr>
    </w:tbl>
    <w:p w14:paraId="66C39904" w14:textId="77777777" w:rsidR="00B95379" w:rsidRPr="005732FC" w:rsidRDefault="00B95379" w:rsidP="00B95379">
      <w:pPr>
        <w:spacing w:after="0"/>
        <w:jc w:val="both"/>
        <w:rPr>
          <w:rFonts w:ascii="Arial" w:hAnsi="Arial" w:cs="Arial"/>
          <w:sz w:val="20"/>
          <w:szCs w:val="20"/>
        </w:rPr>
      </w:pPr>
    </w:p>
    <w:p w14:paraId="396D7431" w14:textId="77777777" w:rsidR="005F2A16" w:rsidRPr="005732FC" w:rsidRDefault="005F2A16" w:rsidP="00C87B49">
      <w:pPr>
        <w:keepNext/>
        <w:keepLines/>
        <w:numPr>
          <w:ilvl w:val="0"/>
          <w:numId w:val="40"/>
        </w:numPr>
        <w:spacing w:before="40" w:after="0"/>
        <w:ind w:left="142" w:hanging="426"/>
        <w:outlineLvl w:val="1"/>
        <w:rPr>
          <w:rFonts w:ascii="Arial" w:eastAsiaTheme="majorEastAsia" w:hAnsi="Arial" w:cs="Arial"/>
          <w:color w:val="2F5496" w:themeColor="accent1" w:themeShade="BF"/>
          <w:sz w:val="20"/>
          <w:szCs w:val="20"/>
        </w:rPr>
      </w:pPr>
      <w:bookmarkStart w:id="12" w:name="_Hlk182934260"/>
      <w:r w:rsidRPr="005732FC">
        <w:rPr>
          <w:rFonts w:ascii="Arial" w:eastAsiaTheme="majorEastAsia" w:hAnsi="Arial" w:cs="Arial"/>
          <w:b/>
          <w:bCs/>
          <w:sz w:val="20"/>
          <w:szCs w:val="20"/>
        </w:rPr>
        <w:t>Fondos y bienes de terceros en garantía y/o administración a corto plazo</w:t>
      </w:r>
      <w:r w:rsidRPr="005732FC">
        <w:rPr>
          <w:rFonts w:ascii="Arial" w:eastAsiaTheme="majorEastAsia" w:hAnsi="Arial" w:cs="Arial"/>
          <w:b/>
          <w:bCs/>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370F43F5" w14:textId="77777777" w:rsidR="005F2A16" w:rsidRPr="005732FC" w:rsidRDefault="005F2A16" w:rsidP="005F2A16">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FAEE4C5" w14:textId="77777777" w:rsidR="005F2A16" w:rsidRPr="005732FC" w:rsidRDefault="005F2A16" w:rsidP="005F2A16">
      <w:pPr>
        <w:spacing w:after="0"/>
        <w:jc w:val="both"/>
        <w:rPr>
          <w:rFonts w:ascii="Arial" w:hAnsi="Arial" w:cs="Arial"/>
          <w:sz w:val="20"/>
          <w:szCs w:val="20"/>
        </w:rPr>
      </w:pPr>
      <w:r w:rsidRPr="005732FC">
        <w:rPr>
          <w:rFonts w:ascii="Arial" w:hAnsi="Arial" w:cs="Arial"/>
          <w:sz w:val="20"/>
          <w:szCs w:val="20"/>
        </w:rPr>
        <w:t>Esta cuenta representa los fondos propiedad de terceros en garantía del cumplimiento de obligaciones contractuales o legales, o para su administración, que eventualmente se tendrán que devolver a su titular en un plazo menor o igual a doce meses, y que específicamente se refiere a la parte del fondo de ahorro retenido a los empleados de este municipio, y que se integra al 30 de junio de 2025 como sigue:</w:t>
      </w:r>
      <w:r w:rsidRPr="005732FC">
        <w:rPr>
          <w:rFonts w:ascii="Arial" w:hAnsi="Arial" w:cs="Arial"/>
          <w:sz w:val="20"/>
          <w:szCs w:val="20"/>
        </w:rPr>
        <w:tab/>
      </w:r>
    </w:p>
    <w:p w14:paraId="538B4071" w14:textId="77777777" w:rsidR="005F2A16" w:rsidRPr="005732FC" w:rsidRDefault="005F2A16" w:rsidP="005F2A16">
      <w:pPr>
        <w:spacing w:after="0"/>
        <w:jc w:val="both"/>
        <w:rPr>
          <w:rFonts w:ascii="Arial" w:hAnsi="Arial" w:cs="Arial"/>
          <w:sz w:val="20"/>
          <w:szCs w:val="20"/>
        </w:rPr>
      </w:pPr>
    </w:p>
    <w:tbl>
      <w:tblPr>
        <w:tblpPr w:leftFromText="141" w:rightFromText="141" w:vertAnchor="text" w:tblpY="1"/>
        <w:tblOverlap w:val="never"/>
        <w:tblW w:w="9828" w:type="dxa"/>
        <w:tblCellMar>
          <w:left w:w="70" w:type="dxa"/>
          <w:right w:w="70" w:type="dxa"/>
        </w:tblCellMar>
        <w:tblLook w:val="04A0" w:firstRow="1" w:lastRow="0" w:firstColumn="1" w:lastColumn="0" w:noHBand="0" w:noVBand="1"/>
      </w:tblPr>
      <w:tblGrid>
        <w:gridCol w:w="3855"/>
        <w:gridCol w:w="653"/>
        <w:gridCol w:w="653"/>
        <w:gridCol w:w="2352"/>
        <w:gridCol w:w="2315"/>
      </w:tblGrid>
      <w:tr w:rsidR="005F2A16" w:rsidRPr="005732FC" w14:paraId="38FA80CF" w14:textId="77777777" w:rsidTr="008C77A6">
        <w:trPr>
          <w:trHeight w:val="20"/>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203417F4" w14:textId="77777777" w:rsidR="005F2A16" w:rsidRPr="005732FC" w:rsidRDefault="005F2A16" w:rsidP="005F2A1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0987AA82" w14:textId="77777777" w:rsidR="005F2A16" w:rsidRPr="005732FC" w:rsidRDefault="005F2A16" w:rsidP="005F2A1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315" w:type="dxa"/>
            <w:tcBorders>
              <w:top w:val="single" w:sz="8" w:space="0" w:color="auto"/>
              <w:left w:val="nil"/>
              <w:bottom w:val="single" w:sz="8" w:space="0" w:color="auto"/>
              <w:right w:val="nil"/>
            </w:tcBorders>
            <w:shd w:val="clear" w:color="000000" w:fill="D9D9D9"/>
            <w:vAlign w:val="center"/>
            <w:hideMark/>
          </w:tcPr>
          <w:p w14:paraId="34A4FFEA" w14:textId="77777777" w:rsidR="005F2A16" w:rsidRPr="005732FC" w:rsidRDefault="005F2A16" w:rsidP="005F2A1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31 de diciembre 2024</w:t>
            </w:r>
          </w:p>
        </w:tc>
      </w:tr>
      <w:tr w:rsidR="005F2A16" w:rsidRPr="005732FC" w14:paraId="7244E985" w14:textId="77777777" w:rsidTr="008C77A6">
        <w:trPr>
          <w:trHeight w:val="20"/>
        </w:trPr>
        <w:tc>
          <w:tcPr>
            <w:tcW w:w="5161" w:type="dxa"/>
            <w:gridSpan w:val="3"/>
            <w:tcBorders>
              <w:top w:val="nil"/>
              <w:left w:val="nil"/>
              <w:bottom w:val="single" w:sz="8" w:space="0" w:color="auto"/>
              <w:right w:val="nil"/>
            </w:tcBorders>
            <w:shd w:val="clear" w:color="auto" w:fill="auto"/>
            <w:noWrap/>
            <w:vAlign w:val="center"/>
            <w:hideMark/>
          </w:tcPr>
          <w:p w14:paraId="7D2C6601" w14:textId="77777777" w:rsidR="005F2A16" w:rsidRPr="005732FC" w:rsidRDefault="005F2A16" w:rsidP="005F2A1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Fondos en Administración a Corto Plazo</w:t>
            </w:r>
          </w:p>
        </w:tc>
        <w:tc>
          <w:tcPr>
            <w:tcW w:w="2352" w:type="dxa"/>
            <w:tcBorders>
              <w:top w:val="nil"/>
              <w:left w:val="nil"/>
              <w:bottom w:val="single" w:sz="8" w:space="0" w:color="auto"/>
              <w:right w:val="nil"/>
            </w:tcBorders>
            <w:shd w:val="clear" w:color="auto" w:fill="auto"/>
            <w:noWrap/>
            <w:vAlign w:val="center"/>
            <w:hideMark/>
          </w:tcPr>
          <w:p w14:paraId="2B522847" w14:textId="77777777" w:rsidR="005F2A16" w:rsidRPr="005732FC" w:rsidRDefault="005F2A16" w:rsidP="005F2A1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25,538,611.77</w:t>
            </w:r>
          </w:p>
        </w:tc>
        <w:tc>
          <w:tcPr>
            <w:tcW w:w="2315" w:type="dxa"/>
            <w:tcBorders>
              <w:top w:val="nil"/>
              <w:left w:val="nil"/>
              <w:bottom w:val="single" w:sz="8" w:space="0" w:color="auto"/>
              <w:right w:val="nil"/>
            </w:tcBorders>
            <w:shd w:val="clear" w:color="auto" w:fill="auto"/>
            <w:noWrap/>
            <w:vAlign w:val="center"/>
            <w:hideMark/>
          </w:tcPr>
          <w:p w14:paraId="09E005A3" w14:textId="77777777" w:rsidR="005F2A16" w:rsidRPr="005732FC" w:rsidRDefault="005F2A16" w:rsidP="005F2A1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43,107,095.91 </w:t>
            </w:r>
          </w:p>
        </w:tc>
      </w:tr>
      <w:tr w:rsidR="005F2A16" w:rsidRPr="005732FC" w14:paraId="14AE7911" w14:textId="77777777" w:rsidTr="008C77A6">
        <w:trPr>
          <w:trHeight w:val="20"/>
        </w:trPr>
        <w:tc>
          <w:tcPr>
            <w:tcW w:w="3855" w:type="dxa"/>
            <w:tcBorders>
              <w:top w:val="nil"/>
              <w:left w:val="nil"/>
              <w:bottom w:val="single" w:sz="8" w:space="0" w:color="auto"/>
              <w:right w:val="nil"/>
            </w:tcBorders>
            <w:shd w:val="clear" w:color="000000" w:fill="D9D9D9"/>
            <w:noWrap/>
            <w:vAlign w:val="center"/>
            <w:hideMark/>
          </w:tcPr>
          <w:p w14:paraId="58BF9311" w14:textId="77777777" w:rsidR="005F2A16" w:rsidRPr="005732FC" w:rsidRDefault="005F2A16" w:rsidP="005F2A1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4879E7D7" w14:textId="77777777" w:rsidR="005F2A16" w:rsidRPr="005732FC" w:rsidRDefault="005F2A16" w:rsidP="005F2A1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07BFF5D4" w14:textId="77777777" w:rsidR="005F2A16" w:rsidRPr="005732FC" w:rsidRDefault="005F2A16" w:rsidP="005F2A1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6A468DDF" w14:textId="77777777" w:rsidR="005F2A16" w:rsidRPr="005732FC" w:rsidRDefault="005F2A16" w:rsidP="005F2A1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25,538,611.77</w:t>
            </w:r>
          </w:p>
        </w:tc>
        <w:tc>
          <w:tcPr>
            <w:tcW w:w="2315" w:type="dxa"/>
            <w:tcBorders>
              <w:top w:val="nil"/>
              <w:left w:val="nil"/>
              <w:bottom w:val="single" w:sz="8" w:space="0" w:color="auto"/>
              <w:right w:val="nil"/>
            </w:tcBorders>
            <w:shd w:val="clear" w:color="000000" w:fill="D9D9D9"/>
            <w:noWrap/>
            <w:vAlign w:val="center"/>
          </w:tcPr>
          <w:p w14:paraId="2FBD8545" w14:textId="77777777" w:rsidR="005F2A16" w:rsidRPr="005732FC" w:rsidRDefault="005F2A16" w:rsidP="005F2A1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43,107,095.91</w:t>
            </w:r>
          </w:p>
        </w:tc>
      </w:tr>
    </w:tbl>
    <w:p w14:paraId="528B230E" w14:textId="5CFEE393" w:rsidR="00C77E85" w:rsidRPr="005732FC" w:rsidRDefault="00C77E85" w:rsidP="00C77E85">
      <w:pPr>
        <w:spacing w:after="0"/>
        <w:jc w:val="both"/>
        <w:rPr>
          <w:rFonts w:ascii="Arial" w:hAnsi="Arial" w:cs="Arial"/>
          <w:sz w:val="20"/>
          <w:szCs w:val="20"/>
        </w:rPr>
      </w:pPr>
      <w:r w:rsidRPr="005732FC">
        <w:rPr>
          <w:rFonts w:ascii="Arial" w:hAnsi="Arial" w:cs="Arial"/>
          <w:sz w:val="20"/>
          <w:szCs w:val="20"/>
        </w:rPr>
        <w:tab/>
      </w:r>
    </w:p>
    <w:p w14:paraId="3ECCAA13" w14:textId="77777777" w:rsidR="00C77E85" w:rsidRPr="005732FC" w:rsidRDefault="00C77E85" w:rsidP="00C77E85">
      <w:pPr>
        <w:spacing w:after="0"/>
        <w:jc w:val="both"/>
        <w:rPr>
          <w:rFonts w:ascii="Arial" w:hAnsi="Arial" w:cs="Arial"/>
          <w:sz w:val="20"/>
          <w:szCs w:val="20"/>
        </w:rPr>
      </w:pPr>
    </w:p>
    <w:p w14:paraId="65FA4626" w14:textId="77777777" w:rsidR="009E0067" w:rsidRPr="005732FC" w:rsidRDefault="009E0067" w:rsidP="008C7A3B">
      <w:pPr>
        <w:spacing w:after="0"/>
        <w:jc w:val="both"/>
        <w:rPr>
          <w:rFonts w:ascii="Arial" w:hAnsi="Arial" w:cs="Arial"/>
          <w:sz w:val="20"/>
          <w:szCs w:val="20"/>
        </w:rPr>
      </w:pPr>
    </w:p>
    <w:bookmarkEnd w:id="12"/>
    <w:p w14:paraId="1E22A6B2" w14:textId="2C00E02F"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p>
    <w:p w14:paraId="3261C7D7" w14:textId="5274C701" w:rsidR="00BA3347" w:rsidRPr="005732FC" w:rsidRDefault="00BA3347" w:rsidP="00C87B49">
      <w:pPr>
        <w:pStyle w:val="Ttulo2"/>
        <w:numPr>
          <w:ilvl w:val="0"/>
          <w:numId w:val="40"/>
        </w:numPr>
        <w:ind w:left="0"/>
        <w:rPr>
          <w:rFonts w:ascii="Arial" w:hAnsi="Arial" w:cs="Arial"/>
          <w:b/>
          <w:bCs/>
          <w:sz w:val="20"/>
          <w:szCs w:val="20"/>
        </w:rPr>
      </w:pPr>
      <w:r w:rsidRPr="005732FC">
        <w:rPr>
          <w:rFonts w:ascii="Arial" w:hAnsi="Arial" w:cs="Arial"/>
          <w:b/>
          <w:bCs/>
          <w:color w:val="auto"/>
          <w:sz w:val="20"/>
          <w:szCs w:val="20"/>
        </w:rPr>
        <w:t>Otros pasivos a corto plazo</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6C3C6064"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3F59C38" w14:textId="77777777" w:rsidR="00461284" w:rsidRPr="005732FC" w:rsidRDefault="00461284" w:rsidP="00461284">
      <w:pPr>
        <w:spacing w:after="0"/>
        <w:jc w:val="both"/>
        <w:rPr>
          <w:rFonts w:ascii="Arial" w:hAnsi="Arial" w:cs="Arial"/>
          <w:sz w:val="20"/>
          <w:szCs w:val="20"/>
        </w:rPr>
      </w:pPr>
      <w:r w:rsidRPr="005732FC">
        <w:rPr>
          <w:rFonts w:ascii="Arial" w:hAnsi="Arial" w:cs="Arial"/>
          <w:sz w:val="20"/>
          <w:szCs w:val="20"/>
        </w:rPr>
        <w:t>La cuenta de otros pasivos a corto plazo representa todos los depósitos pendientes de clasificar de las direcciones de Egresos, Ingresos y Finanzas, distinguidos por cuenta bancaria, lo que permite una identificación más clara de los depósitos no identificados. Se integra al 30 de junio del 2025 como sigue:</w:t>
      </w:r>
      <w:r w:rsidRPr="005732FC">
        <w:rPr>
          <w:rFonts w:ascii="Arial" w:hAnsi="Arial" w:cs="Arial"/>
          <w:sz w:val="20"/>
          <w:szCs w:val="20"/>
        </w:rPr>
        <w:tab/>
      </w:r>
    </w:p>
    <w:p w14:paraId="0BC9B2C2" w14:textId="30C8871A" w:rsidR="001C20A8" w:rsidRPr="005732FC" w:rsidRDefault="001C20A8" w:rsidP="001C20A8">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p>
    <w:tbl>
      <w:tblPr>
        <w:tblpPr w:leftFromText="141" w:rightFromText="141" w:vertAnchor="text" w:tblpY="1"/>
        <w:tblOverlap w:val="never"/>
        <w:tblW w:w="7513" w:type="dxa"/>
        <w:tblCellMar>
          <w:left w:w="70" w:type="dxa"/>
          <w:right w:w="70" w:type="dxa"/>
        </w:tblCellMar>
        <w:tblLook w:val="04A0" w:firstRow="1" w:lastRow="0" w:firstColumn="1" w:lastColumn="0" w:noHBand="0" w:noVBand="1"/>
      </w:tblPr>
      <w:tblGrid>
        <w:gridCol w:w="2736"/>
        <w:gridCol w:w="464"/>
        <w:gridCol w:w="1973"/>
        <w:gridCol w:w="132"/>
        <w:gridCol w:w="2208"/>
      </w:tblGrid>
      <w:tr w:rsidR="00461284" w:rsidRPr="005732FC" w14:paraId="0C8CFF0C" w14:textId="77777777" w:rsidTr="0014577C">
        <w:trPr>
          <w:trHeight w:val="20"/>
          <w:tblHeader/>
        </w:trPr>
        <w:tc>
          <w:tcPr>
            <w:tcW w:w="3200" w:type="dxa"/>
            <w:gridSpan w:val="2"/>
            <w:tcBorders>
              <w:top w:val="single" w:sz="8" w:space="0" w:color="auto"/>
              <w:left w:val="nil"/>
              <w:bottom w:val="single" w:sz="8" w:space="0" w:color="auto"/>
              <w:right w:val="nil"/>
            </w:tcBorders>
            <w:shd w:val="clear" w:color="000000" w:fill="D9D9D9"/>
            <w:noWrap/>
            <w:vAlign w:val="center"/>
            <w:hideMark/>
          </w:tcPr>
          <w:p w14:paraId="72790C4D" w14:textId="77777777" w:rsidR="00461284" w:rsidRPr="005732FC" w:rsidRDefault="00461284" w:rsidP="0014577C">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105" w:type="dxa"/>
            <w:gridSpan w:val="2"/>
            <w:tcBorders>
              <w:top w:val="single" w:sz="8" w:space="0" w:color="auto"/>
              <w:left w:val="nil"/>
              <w:bottom w:val="single" w:sz="8" w:space="0" w:color="auto"/>
              <w:right w:val="nil"/>
            </w:tcBorders>
            <w:shd w:val="clear" w:color="000000" w:fill="D9D9D9"/>
            <w:vAlign w:val="center"/>
            <w:hideMark/>
          </w:tcPr>
          <w:p w14:paraId="28D9C954"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08" w:type="dxa"/>
            <w:tcBorders>
              <w:top w:val="single" w:sz="8" w:space="0" w:color="auto"/>
              <w:left w:val="nil"/>
              <w:bottom w:val="single" w:sz="8" w:space="0" w:color="auto"/>
              <w:right w:val="nil"/>
            </w:tcBorders>
            <w:shd w:val="clear" w:color="000000" w:fill="D9D9D9"/>
            <w:vAlign w:val="center"/>
            <w:hideMark/>
          </w:tcPr>
          <w:p w14:paraId="460D6FF6"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461284" w:rsidRPr="005732FC" w14:paraId="1C179CFD" w14:textId="77777777" w:rsidTr="0014577C">
        <w:trPr>
          <w:trHeight w:val="20"/>
        </w:trPr>
        <w:tc>
          <w:tcPr>
            <w:tcW w:w="3200" w:type="dxa"/>
            <w:gridSpan w:val="2"/>
            <w:tcBorders>
              <w:top w:val="nil"/>
              <w:left w:val="nil"/>
              <w:bottom w:val="nil"/>
              <w:right w:val="nil"/>
            </w:tcBorders>
            <w:shd w:val="clear" w:color="auto" w:fill="auto"/>
            <w:noWrap/>
            <w:vAlign w:val="center"/>
            <w:hideMark/>
          </w:tcPr>
          <w:p w14:paraId="18211833"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Ingresos por Clasificar  </w:t>
            </w:r>
          </w:p>
        </w:tc>
        <w:tc>
          <w:tcPr>
            <w:tcW w:w="1973" w:type="dxa"/>
            <w:tcBorders>
              <w:top w:val="nil"/>
              <w:left w:val="nil"/>
              <w:bottom w:val="nil"/>
              <w:right w:val="nil"/>
            </w:tcBorders>
            <w:shd w:val="clear" w:color="auto" w:fill="auto"/>
            <w:noWrap/>
            <w:vAlign w:val="center"/>
            <w:hideMark/>
          </w:tcPr>
          <w:p w14:paraId="48AA0FC7"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468,328.20</w:t>
            </w:r>
          </w:p>
        </w:tc>
        <w:tc>
          <w:tcPr>
            <w:tcW w:w="2340" w:type="dxa"/>
            <w:gridSpan w:val="2"/>
            <w:tcBorders>
              <w:top w:val="nil"/>
              <w:left w:val="nil"/>
              <w:bottom w:val="nil"/>
              <w:right w:val="nil"/>
            </w:tcBorders>
            <w:shd w:val="clear" w:color="auto" w:fill="auto"/>
            <w:noWrap/>
            <w:vAlign w:val="center"/>
            <w:hideMark/>
          </w:tcPr>
          <w:p w14:paraId="3F2C286C"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571,119.20</w:t>
            </w:r>
          </w:p>
        </w:tc>
      </w:tr>
      <w:tr w:rsidR="00461284" w:rsidRPr="005732FC" w14:paraId="1CB627E2" w14:textId="77777777" w:rsidTr="0014577C">
        <w:trPr>
          <w:trHeight w:val="20"/>
        </w:trPr>
        <w:tc>
          <w:tcPr>
            <w:tcW w:w="3200" w:type="dxa"/>
            <w:gridSpan w:val="2"/>
            <w:tcBorders>
              <w:top w:val="nil"/>
              <w:left w:val="nil"/>
              <w:bottom w:val="single" w:sz="8" w:space="0" w:color="auto"/>
              <w:right w:val="nil"/>
            </w:tcBorders>
            <w:shd w:val="clear" w:color="auto" w:fill="auto"/>
            <w:noWrap/>
            <w:vAlign w:val="center"/>
            <w:hideMark/>
          </w:tcPr>
          <w:p w14:paraId="50EE6303"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Otros Pasivos Circulantes </w:t>
            </w:r>
          </w:p>
        </w:tc>
        <w:tc>
          <w:tcPr>
            <w:tcW w:w="1973" w:type="dxa"/>
            <w:tcBorders>
              <w:top w:val="nil"/>
              <w:left w:val="nil"/>
              <w:bottom w:val="single" w:sz="8" w:space="0" w:color="auto"/>
              <w:right w:val="nil"/>
            </w:tcBorders>
            <w:shd w:val="clear" w:color="auto" w:fill="auto"/>
            <w:noWrap/>
            <w:vAlign w:val="center"/>
            <w:hideMark/>
          </w:tcPr>
          <w:p w14:paraId="64594068"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25,673,390.79</w:t>
            </w:r>
          </w:p>
        </w:tc>
        <w:tc>
          <w:tcPr>
            <w:tcW w:w="2340" w:type="dxa"/>
            <w:gridSpan w:val="2"/>
            <w:tcBorders>
              <w:top w:val="nil"/>
              <w:left w:val="nil"/>
              <w:bottom w:val="single" w:sz="8" w:space="0" w:color="auto"/>
              <w:right w:val="nil"/>
            </w:tcBorders>
            <w:shd w:val="clear" w:color="auto" w:fill="auto"/>
            <w:noWrap/>
            <w:vAlign w:val="center"/>
            <w:hideMark/>
          </w:tcPr>
          <w:p w14:paraId="4F08B936"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25,707,370.79</w:t>
            </w:r>
          </w:p>
        </w:tc>
      </w:tr>
      <w:tr w:rsidR="00461284" w:rsidRPr="005732FC" w14:paraId="6E58728A" w14:textId="77777777" w:rsidTr="0014577C">
        <w:trPr>
          <w:trHeight w:val="20"/>
        </w:trPr>
        <w:tc>
          <w:tcPr>
            <w:tcW w:w="2736" w:type="dxa"/>
            <w:tcBorders>
              <w:top w:val="nil"/>
              <w:left w:val="nil"/>
              <w:bottom w:val="single" w:sz="8" w:space="0" w:color="auto"/>
              <w:right w:val="nil"/>
            </w:tcBorders>
            <w:shd w:val="clear" w:color="000000" w:fill="D9D9D9"/>
            <w:noWrap/>
            <w:vAlign w:val="center"/>
            <w:hideMark/>
          </w:tcPr>
          <w:p w14:paraId="1324C5B9" w14:textId="77777777" w:rsidR="00461284" w:rsidRPr="005732FC" w:rsidRDefault="00461284" w:rsidP="0014577C">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464" w:type="dxa"/>
            <w:tcBorders>
              <w:top w:val="nil"/>
              <w:left w:val="nil"/>
              <w:bottom w:val="single" w:sz="8" w:space="0" w:color="auto"/>
              <w:right w:val="nil"/>
            </w:tcBorders>
            <w:shd w:val="clear" w:color="000000" w:fill="D9D9D9"/>
            <w:noWrap/>
            <w:vAlign w:val="center"/>
            <w:hideMark/>
          </w:tcPr>
          <w:p w14:paraId="04C1FBAA" w14:textId="77777777" w:rsidR="00461284" w:rsidRPr="005732FC" w:rsidRDefault="00461284" w:rsidP="0014577C">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1973" w:type="dxa"/>
            <w:tcBorders>
              <w:top w:val="nil"/>
              <w:left w:val="nil"/>
              <w:bottom w:val="single" w:sz="8" w:space="0" w:color="auto"/>
              <w:right w:val="nil"/>
            </w:tcBorders>
            <w:shd w:val="clear" w:color="000000" w:fill="D9D9D9"/>
            <w:noWrap/>
            <w:vAlign w:val="center"/>
            <w:hideMark/>
          </w:tcPr>
          <w:p w14:paraId="20E057BD"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26,141,718.99</w:t>
            </w:r>
          </w:p>
        </w:tc>
        <w:tc>
          <w:tcPr>
            <w:tcW w:w="2340" w:type="dxa"/>
            <w:gridSpan w:val="2"/>
            <w:tcBorders>
              <w:top w:val="nil"/>
              <w:left w:val="nil"/>
              <w:bottom w:val="single" w:sz="8" w:space="0" w:color="auto"/>
              <w:right w:val="nil"/>
            </w:tcBorders>
            <w:shd w:val="clear" w:color="000000" w:fill="D9D9D9"/>
            <w:noWrap/>
            <w:vAlign w:val="center"/>
            <w:hideMark/>
          </w:tcPr>
          <w:p w14:paraId="5992C33A"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26,278,489.99</w:t>
            </w:r>
          </w:p>
        </w:tc>
      </w:tr>
    </w:tbl>
    <w:p w14:paraId="145673DD" w14:textId="77777777" w:rsidR="00737CE0" w:rsidRPr="005732FC" w:rsidRDefault="00737CE0" w:rsidP="00737CE0">
      <w:pPr>
        <w:spacing w:after="0"/>
        <w:jc w:val="both"/>
        <w:rPr>
          <w:rFonts w:ascii="Arial" w:hAnsi="Arial" w:cs="Arial"/>
          <w:sz w:val="20"/>
          <w:szCs w:val="20"/>
        </w:rPr>
      </w:pPr>
      <w:r w:rsidRPr="005732FC">
        <w:rPr>
          <w:rFonts w:ascii="Arial" w:hAnsi="Arial" w:cs="Arial"/>
          <w:sz w:val="20"/>
          <w:szCs w:val="20"/>
        </w:rPr>
        <w:br w:type="textWrapping" w:clear="all"/>
      </w:r>
    </w:p>
    <w:p w14:paraId="010A4A34" w14:textId="78BFAFA1" w:rsidR="009C198F" w:rsidRPr="005732FC" w:rsidRDefault="00AC21A0" w:rsidP="00FB2992">
      <w:pPr>
        <w:spacing w:after="0"/>
        <w:jc w:val="both"/>
        <w:rPr>
          <w:rFonts w:ascii="Arial" w:hAnsi="Arial" w:cs="Arial"/>
          <w:sz w:val="20"/>
          <w:szCs w:val="20"/>
        </w:rPr>
      </w:pPr>
      <w:r w:rsidRPr="005732FC">
        <w:rPr>
          <w:rFonts w:ascii="Arial" w:hAnsi="Arial" w:cs="Arial"/>
          <w:sz w:val="20"/>
          <w:szCs w:val="20"/>
        </w:rPr>
        <w:lastRenderedPageBreak/>
        <w:t>La cuenta de Ingresos por clasificar representa los recursos depositados del ente público, pendientes de clasificar según los conceptos del Clasificador por Rubros de Ingresos, mismos que surgen de las entradas presentadas en estados de cuentas recaudadoras y que se reconocen en el rubro de ingresos correspondiente al momento de la emisión del recibo del contribuyente.</w:t>
      </w:r>
    </w:p>
    <w:p w14:paraId="1E274E9B" w14:textId="77777777" w:rsidR="009C198F" w:rsidRPr="005732FC" w:rsidRDefault="009C198F" w:rsidP="00FB2992">
      <w:pPr>
        <w:spacing w:after="0"/>
        <w:jc w:val="both"/>
        <w:rPr>
          <w:rFonts w:ascii="Arial" w:hAnsi="Arial" w:cs="Arial"/>
          <w:sz w:val="20"/>
          <w:szCs w:val="20"/>
        </w:rPr>
      </w:pPr>
    </w:p>
    <w:p w14:paraId="106C1CBB" w14:textId="77777777" w:rsidR="001C20A8" w:rsidRPr="005732FC" w:rsidRDefault="001C20A8" w:rsidP="001C20A8">
      <w:pPr>
        <w:spacing w:after="0"/>
        <w:jc w:val="both"/>
        <w:rPr>
          <w:rFonts w:ascii="Arial" w:hAnsi="Arial" w:cs="Arial"/>
          <w:sz w:val="20"/>
          <w:szCs w:val="20"/>
        </w:rPr>
      </w:pPr>
      <w:r w:rsidRPr="005732FC">
        <w:rPr>
          <w:rFonts w:ascii="Arial" w:hAnsi="Arial" w:cs="Arial"/>
          <w:sz w:val="20"/>
          <w:szCs w:val="20"/>
        </w:rPr>
        <w:t>A continuación, se detalla la integración de la cuenta Otros Pasivos Circulantes:</w:t>
      </w:r>
      <w:r w:rsidRPr="005732FC">
        <w:rPr>
          <w:rFonts w:ascii="Arial" w:hAnsi="Arial" w:cs="Arial"/>
          <w:sz w:val="20"/>
          <w:szCs w:val="20"/>
        </w:rPr>
        <w:tab/>
      </w:r>
    </w:p>
    <w:p w14:paraId="1E96F8BE" w14:textId="77777777" w:rsidR="001C20A8" w:rsidRPr="005732FC" w:rsidRDefault="001C20A8" w:rsidP="001C20A8">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9923" w:type="dxa"/>
        <w:tblCellMar>
          <w:left w:w="70" w:type="dxa"/>
          <w:right w:w="70" w:type="dxa"/>
        </w:tblCellMar>
        <w:tblLook w:val="04A0" w:firstRow="1" w:lastRow="0" w:firstColumn="1" w:lastColumn="0" w:noHBand="0" w:noVBand="1"/>
      </w:tblPr>
      <w:tblGrid>
        <w:gridCol w:w="5529"/>
        <w:gridCol w:w="1984"/>
        <w:gridCol w:w="2410"/>
      </w:tblGrid>
      <w:tr w:rsidR="00461284" w:rsidRPr="005732FC" w14:paraId="4C3EAFCB" w14:textId="77777777" w:rsidTr="0014577C">
        <w:trPr>
          <w:trHeight w:val="20"/>
          <w:tblHeader/>
        </w:trPr>
        <w:tc>
          <w:tcPr>
            <w:tcW w:w="5529" w:type="dxa"/>
            <w:tcBorders>
              <w:top w:val="single" w:sz="8" w:space="0" w:color="auto"/>
              <w:left w:val="nil"/>
              <w:bottom w:val="single" w:sz="8" w:space="0" w:color="auto"/>
              <w:right w:val="nil"/>
            </w:tcBorders>
            <w:shd w:val="clear" w:color="000000" w:fill="D9D9D9"/>
            <w:noWrap/>
            <w:vAlign w:val="center"/>
            <w:hideMark/>
          </w:tcPr>
          <w:p w14:paraId="2855FF24" w14:textId="77777777" w:rsidR="00461284" w:rsidRPr="005732FC" w:rsidRDefault="00461284" w:rsidP="0014577C">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1984" w:type="dxa"/>
            <w:tcBorders>
              <w:top w:val="single" w:sz="8" w:space="0" w:color="auto"/>
              <w:left w:val="nil"/>
              <w:bottom w:val="single" w:sz="8" w:space="0" w:color="auto"/>
              <w:right w:val="nil"/>
            </w:tcBorders>
            <w:shd w:val="clear" w:color="000000" w:fill="D9D9D9"/>
            <w:vAlign w:val="center"/>
            <w:hideMark/>
          </w:tcPr>
          <w:p w14:paraId="0629C8F8"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410" w:type="dxa"/>
            <w:tcBorders>
              <w:top w:val="single" w:sz="8" w:space="0" w:color="auto"/>
              <w:left w:val="nil"/>
              <w:bottom w:val="single" w:sz="8" w:space="0" w:color="auto"/>
              <w:right w:val="nil"/>
            </w:tcBorders>
            <w:shd w:val="clear" w:color="000000" w:fill="D9D9D9"/>
            <w:vAlign w:val="center"/>
            <w:hideMark/>
          </w:tcPr>
          <w:p w14:paraId="0C0F911D"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31 de diciembre 2024</w:t>
            </w:r>
          </w:p>
        </w:tc>
      </w:tr>
      <w:tr w:rsidR="00461284" w:rsidRPr="005732FC" w14:paraId="569214C2" w14:textId="77777777" w:rsidTr="0014577C">
        <w:trPr>
          <w:trHeight w:val="20"/>
        </w:trPr>
        <w:tc>
          <w:tcPr>
            <w:tcW w:w="5529" w:type="dxa"/>
            <w:tcBorders>
              <w:top w:val="nil"/>
              <w:left w:val="nil"/>
              <w:bottom w:val="nil"/>
              <w:right w:val="nil"/>
            </w:tcBorders>
            <w:shd w:val="clear" w:color="auto" w:fill="auto"/>
            <w:vAlign w:val="center"/>
            <w:hideMark/>
          </w:tcPr>
          <w:p w14:paraId="1BEAE9AC"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Dirección de Ingresos</w:t>
            </w:r>
          </w:p>
        </w:tc>
        <w:tc>
          <w:tcPr>
            <w:tcW w:w="1984" w:type="dxa"/>
            <w:tcBorders>
              <w:top w:val="nil"/>
              <w:left w:val="nil"/>
              <w:bottom w:val="nil"/>
              <w:right w:val="nil"/>
            </w:tcBorders>
            <w:shd w:val="clear" w:color="auto" w:fill="auto"/>
            <w:noWrap/>
            <w:vAlign w:val="center"/>
            <w:hideMark/>
          </w:tcPr>
          <w:p w14:paraId="1E1326AE"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1,155,838.72</w:t>
            </w:r>
          </w:p>
        </w:tc>
        <w:tc>
          <w:tcPr>
            <w:tcW w:w="2410" w:type="dxa"/>
            <w:tcBorders>
              <w:top w:val="nil"/>
              <w:left w:val="nil"/>
              <w:bottom w:val="nil"/>
              <w:right w:val="nil"/>
            </w:tcBorders>
            <w:shd w:val="clear" w:color="auto" w:fill="auto"/>
            <w:noWrap/>
            <w:vAlign w:val="center"/>
            <w:hideMark/>
          </w:tcPr>
          <w:p w14:paraId="5FBFA7B8"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1,155,838.72</w:t>
            </w:r>
          </w:p>
        </w:tc>
      </w:tr>
      <w:tr w:rsidR="00461284" w:rsidRPr="005732FC" w14:paraId="48003E41" w14:textId="77777777" w:rsidTr="0014577C">
        <w:trPr>
          <w:trHeight w:val="20"/>
        </w:trPr>
        <w:tc>
          <w:tcPr>
            <w:tcW w:w="5529" w:type="dxa"/>
            <w:tcBorders>
              <w:top w:val="nil"/>
              <w:left w:val="nil"/>
              <w:bottom w:val="nil"/>
              <w:right w:val="nil"/>
            </w:tcBorders>
            <w:shd w:val="clear" w:color="auto" w:fill="auto"/>
            <w:vAlign w:val="center"/>
            <w:hideMark/>
          </w:tcPr>
          <w:p w14:paraId="3D334B4A"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Dirección de Egresos</w:t>
            </w:r>
          </w:p>
        </w:tc>
        <w:tc>
          <w:tcPr>
            <w:tcW w:w="1984" w:type="dxa"/>
            <w:tcBorders>
              <w:top w:val="nil"/>
              <w:left w:val="nil"/>
              <w:bottom w:val="nil"/>
              <w:right w:val="nil"/>
            </w:tcBorders>
            <w:shd w:val="clear" w:color="auto" w:fill="auto"/>
            <w:noWrap/>
            <w:vAlign w:val="center"/>
            <w:hideMark/>
          </w:tcPr>
          <w:p w14:paraId="73DC368A"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957,383.88</w:t>
            </w:r>
          </w:p>
        </w:tc>
        <w:tc>
          <w:tcPr>
            <w:tcW w:w="2410" w:type="dxa"/>
            <w:tcBorders>
              <w:top w:val="nil"/>
              <w:left w:val="nil"/>
              <w:bottom w:val="nil"/>
              <w:right w:val="nil"/>
            </w:tcBorders>
            <w:shd w:val="clear" w:color="auto" w:fill="auto"/>
            <w:noWrap/>
            <w:vAlign w:val="center"/>
            <w:hideMark/>
          </w:tcPr>
          <w:p w14:paraId="6225321C"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957,383.88</w:t>
            </w:r>
          </w:p>
        </w:tc>
      </w:tr>
      <w:tr w:rsidR="00461284" w:rsidRPr="005732FC" w14:paraId="613826BC" w14:textId="77777777" w:rsidTr="0014577C">
        <w:trPr>
          <w:trHeight w:val="20"/>
        </w:trPr>
        <w:tc>
          <w:tcPr>
            <w:tcW w:w="5529" w:type="dxa"/>
            <w:tcBorders>
              <w:top w:val="nil"/>
              <w:left w:val="nil"/>
              <w:bottom w:val="nil"/>
              <w:right w:val="nil"/>
            </w:tcBorders>
            <w:shd w:val="clear" w:color="auto" w:fill="auto"/>
            <w:vAlign w:val="center"/>
            <w:hideMark/>
          </w:tcPr>
          <w:p w14:paraId="4C611489"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Dirección de Finanzas</w:t>
            </w:r>
          </w:p>
        </w:tc>
        <w:tc>
          <w:tcPr>
            <w:tcW w:w="1984" w:type="dxa"/>
            <w:tcBorders>
              <w:top w:val="nil"/>
              <w:left w:val="nil"/>
              <w:bottom w:val="nil"/>
              <w:right w:val="nil"/>
            </w:tcBorders>
            <w:shd w:val="clear" w:color="auto" w:fill="auto"/>
            <w:noWrap/>
            <w:vAlign w:val="center"/>
            <w:hideMark/>
          </w:tcPr>
          <w:p w14:paraId="435DAC3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294,480.11</w:t>
            </w:r>
          </w:p>
        </w:tc>
        <w:tc>
          <w:tcPr>
            <w:tcW w:w="2410" w:type="dxa"/>
            <w:tcBorders>
              <w:top w:val="nil"/>
              <w:left w:val="nil"/>
              <w:bottom w:val="nil"/>
              <w:right w:val="nil"/>
            </w:tcBorders>
            <w:shd w:val="clear" w:color="auto" w:fill="auto"/>
            <w:noWrap/>
            <w:vAlign w:val="center"/>
            <w:hideMark/>
          </w:tcPr>
          <w:p w14:paraId="7BA417F6"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294,480.11</w:t>
            </w:r>
          </w:p>
        </w:tc>
      </w:tr>
      <w:tr w:rsidR="00461284" w:rsidRPr="005732FC" w14:paraId="03015247" w14:textId="77777777" w:rsidTr="0014577C">
        <w:trPr>
          <w:trHeight w:val="20"/>
        </w:trPr>
        <w:tc>
          <w:tcPr>
            <w:tcW w:w="5529" w:type="dxa"/>
            <w:tcBorders>
              <w:top w:val="nil"/>
              <w:left w:val="nil"/>
              <w:bottom w:val="nil"/>
              <w:right w:val="nil"/>
            </w:tcBorders>
            <w:shd w:val="clear" w:color="auto" w:fill="auto"/>
            <w:noWrap/>
            <w:vAlign w:val="center"/>
            <w:hideMark/>
          </w:tcPr>
          <w:p w14:paraId="4232E991"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Depósitos Pendientes por Identificar </w:t>
            </w:r>
            <w:proofErr w:type="spellStart"/>
            <w:r w:rsidRPr="005732FC">
              <w:rPr>
                <w:rFonts w:ascii="Arial" w:eastAsia="Times New Roman" w:hAnsi="Arial" w:cs="Arial"/>
                <w:color w:val="000000"/>
                <w:kern w:val="0"/>
                <w:sz w:val="20"/>
                <w:szCs w:val="20"/>
                <w:lang w:eastAsia="es-MX"/>
                <w14:ligatures w14:val="none"/>
              </w:rPr>
              <w:t>Banregio</w:t>
            </w:r>
            <w:proofErr w:type="spellEnd"/>
            <w:r w:rsidRPr="005732FC">
              <w:rPr>
                <w:rFonts w:ascii="Arial" w:eastAsia="Times New Roman" w:hAnsi="Arial" w:cs="Arial"/>
                <w:color w:val="000000"/>
                <w:kern w:val="0"/>
                <w:sz w:val="20"/>
                <w:szCs w:val="20"/>
                <w:lang w:eastAsia="es-MX"/>
                <w14:ligatures w14:val="none"/>
              </w:rPr>
              <w:t xml:space="preserve"> 028</w:t>
            </w:r>
          </w:p>
        </w:tc>
        <w:tc>
          <w:tcPr>
            <w:tcW w:w="1984" w:type="dxa"/>
            <w:tcBorders>
              <w:top w:val="nil"/>
              <w:left w:val="nil"/>
              <w:bottom w:val="nil"/>
              <w:right w:val="nil"/>
            </w:tcBorders>
            <w:shd w:val="clear" w:color="auto" w:fill="auto"/>
            <w:noWrap/>
            <w:vAlign w:val="center"/>
            <w:hideMark/>
          </w:tcPr>
          <w:p w14:paraId="36372F67"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3,234,678.40</w:t>
            </w:r>
          </w:p>
        </w:tc>
        <w:tc>
          <w:tcPr>
            <w:tcW w:w="2410" w:type="dxa"/>
            <w:tcBorders>
              <w:top w:val="nil"/>
              <w:left w:val="nil"/>
              <w:bottom w:val="nil"/>
              <w:right w:val="nil"/>
            </w:tcBorders>
            <w:shd w:val="clear" w:color="auto" w:fill="auto"/>
            <w:noWrap/>
            <w:vAlign w:val="center"/>
            <w:hideMark/>
          </w:tcPr>
          <w:p w14:paraId="7E224015"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3,234,678.40</w:t>
            </w:r>
          </w:p>
        </w:tc>
      </w:tr>
      <w:tr w:rsidR="00461284" w:rsidRPr="005732FC" w14:paraId="09A0A9FE" w14:textId="77777777" w:rsidTr="0014577C">
        <w:trPr>
          <w:trHeight w:val="20"/>
        </w:trPr>
        <w:tc>
          <w:tcPr>
            <w:tcW w:w="5529" w:type="dxa"/>
            <w:tcBorders>
              <w:top w:val="nil"/>
              <w:left w:val="nil"/>
              <w:bottom w:val="nil"/>
              <w:right w:val="nil"/>
            </w:tcBorders>
            <w:shd w:val="clear" w:color="auto" w:fill="auto"/>
            <w:noWrap/>
            <w:vAlign w:val="center"/>
            <w:hideMark/>
          </w:tcPr>
          <w:p w14:paraId="64BE2FF4"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Bancomer 144</w:t>
            </w:r>
          </w:p>
        </w:tc>
        <w:tc>
          <w:tcPr>
            <w:tcW w:w="1984" w:type="dxa"/>
            <w:tcBorders>
              <w:top w:val="nil"/>
              <w:left w:val="nil"/>
              <w:bottom w:val="nil"/>
              <w:right w:val="nil"/>
            </w:tcBorders>
            <w:shd w:val="clear" w:color="auto" w:fill="auto"/>
            <w:noWrap/>
            <w:vAlign w:val="center"/>
            <w:hideMark/>
          </w:tcPr>
          <w:p w14:paraId="6F428C6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52,698.55</w:t>
            </w:r>
          </w:p>
        </w:tc>
        <w:tc>
          <w:tcPr>
            <w:tcW w:w="2410" w:type="dxa"/>
            <w:tcBorders>
              <w:top w:val="nil"/>
              <w:left w:val="nil"/>
              <w:bottom w:val="nil"/>
              <w:right w:val="nil"/>
            </w:tcBorders>
            <w:shd w:val="clear" w:color="auto" w:fill="auto"/>
            <w:noWrap/>
            <w:vAlign w:val="center"/>
            <w:hideMark/>
          </w:tcPr>
          <w:p w14:paraId="6710C69F"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52,698.55</w:t>
            </w:r>
          </w:p>
        </w:tc>
      </w:tr>
      <w:tr w:rsidR="00461284" w:rsidRPr="005732FC" w14:paraId="43F2B424" w14:textId="77777777" w:rsidTr="0014577C">
        <w:trPr>
          <w:trHeight w:val="20"/>
        </w:trPr>
        <w:tc>
          <w:tcPr>
            <w:tcW w:w="5529" w:type="dxa"/>
            <w:tcBorders>
              <w:top w:val="nil"/>
              <w:left w:val="nil"/>
              <w:bottom w:val="nil"/>
              <w:right w:val="nil"/>
            </w:tcBorders>
            <w:shd w:val="clear" w:color="auto" w:fill="auto"/>
            <w:noWrap/>
            <w:vAlign w:val="center"/>
            <w:hideMark/>
          </w:tcPr>
          <w:p w14:paraId="73A61BC9"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Scotiabank 251</w:t>
            </w:r>
          </w:p>
        </w:tc>
        <w:tc>
          <w:tcPr>
            <w:tcW w:w="1984" w:type="dxa"/>
            <w:tcBorders>
              <w:top w:val="nil"/>
              <w:left w:val="nil"/>
              <w:bottom w:val="nil"/>
              <w:right w:val="nil"/>
            </w:tcBorders>
            <w:shd w:val="clear" w:color="auto" w:fill="auto"/>
            <w:noWrap/>
            <w:vAlign w:val="center"/>
            <w:hideMark/>
          </w:tcPr>
          <w:p w14:paraId="4684D5CC"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96,309.81</w:t>
            </w:r>
          </w:p>
        </w:tc>
        <w:tc>
          <w:tcPr>
            <w:tcW w:w="2410" w:type="dxa"/>
            <w:tcBorders>
              <w:top w:val="nil"/>
              <w:left w:val="nil"/>
              <w:bottom w:val="nil"/>
              <w:right w:val="nil"/>
            </w:tcBorders>
            <w:shd w:val="clear" w:color="auto" w:fill="auto"/>
            <w:noWrap/>
            <w:vAlign w:val="center"/>
            <w:hideMark/>
          </w:tcPr>
          <w:p w14:paraId="710ABC9D"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96,309.81</w:t>
            </w:r>
          </w:p>
        </w:tc>
      </w:tr>
      <w:tr w:rsidR="00461284" w:rsidRPr="005732FC" w14:paraId="4BF32C71" w14:textId="77777777" w:rsidTr="0014577C">
        <w:trPr>
          <w:trHeight w:val="20"/>
        </w:trPr>
        <w:tc>
          <w:tcPr>
            <w:tcW w:w="5529" w:type="dxa"/>
            <w:tcBorders>
              <w:top w:val="nil"/>
              <w:left w:val="nil"/>
              <w:bottom w:val="nil"/>
              <w:right w:val="nil"/>
            </w:tcBorders>
            <w:shd w:val="clear" w:color="auto" w:fill="auto"/>
            <w:noWrap/>
            <w:vAlign w:val="center"/>
            <w:hideMark/>
          </w:tcPr>
          <w:p w14:paraId="50F5B280"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349</w:t>
            </w:r>
          </w:p>
        </w:tc>
        <w:tc>
          <w:tcPr>
            <w:tcW w:w="1984" w:type="dxa"/>
            <w:tcBorders>
              <w:top w:val="nil"/>
              <w:left w:val="nil"/>
              <w:bottom w:val="nil"/>
              <w:right w:val="nil"/>
            </w:tcBorders>
            <w:shd w:val="clear" w:color="auto" w:fill="auto"/>
            <w:noWrap/>
            <w:vAlign w:val="center"/>
            <w:hideMark/>
          </w:tcPr>
          <w:p w14:paraId="7CCDC82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72,632.41</w:t>
            </w:r>
          </w:p>
        </w:tc>
        <w:tc>
          <w:tcPr>
            <w:tcW w:w="2410" w:type="dxa"/>
            <w:tcBorders>
              <w:top w:val="nil"/>
              <w:left w:val="nil"/>
              <w:bottom w:val="nil"/>
              <w:right w:val="nil"/>
            </w:tcBorders>
            <w:shd w:val="clear" w:color="auto" w:fill="auto"/>
            <w:noWrap/>
            <w:vAlign w:val="center"/>
            <w:hideMark/>
          </w:tcPr>
          <w:p w14:paraId="7D83FFA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72,632.41</w:t>
            </w:r>
          </w:p>
        </w:tc>
      </w:tr>
      <w:tr w:rsidR="00461284" w:rsidRPr="005732FC" w14:paraId="6A86B742" w14:textId="77777777" w:rsidTr="0014577C">
        <w:trPr>
          <w:trHeight w:val="20"/>
        </w:trPr>
        <w:tc>
          <w:tcPr>
            <w:tcW w:w="5529" w:type="dxa"/>
            <w:tcBorders>
              <w:top w:val="nil"/>
              <w:left w:val="nil"/>
              <w:bottom w:val="nil"/>
              <w:right w:val="nil"/>
            </w:tcBorders>
            <w:shd w:val="clear" w:color="auto" w:fill="auto"/>
            <w:noWrap/>
            <w:vAlign w:val="center"/>
            <w:hideMark/>
          </w:tcPr>
          <w:p w14:paraId="4AFCBA40"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Banamex 136</w:t>
            </w:r>
          </w:p>
        </w:tc>
        <w:tc>
          <w:tcPr>
            <w:tcW w:w="1984" w:type="dxa"/>
            <w:tcBorders>
              <w:top w:val="nil"/>
              <w:left w:val="nil"/>
              <w:bottom w:val="nil"/>
              <w:right w:val="nil"/>
            </w:tcBorders>
            <w:shd w:val="clear" w:color="auto" w:fill="auto"/>
            <w:noWrap/>
            <w:vAlign w:val="center"/>
            <w:hideMark/>
          </w:tcPr>
          <w:p w14:paraId="5C8202DD"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99,792.15</w:t>
            </w:r>
          </w:p>
        </w:tc>
        <w:tc>
          <w:tcPr>
            <w:tcW w:w="2410" w:type="dxa"/>
            <w:tcBorders>
              <w:top w:val="nil"/>
              <w:left w:val="nil"/>
              <w:bottom w:val="nil"/>
              <w:right w:val="nil"/>
            </w:tcBorders>
            <w:shd w:val="clear" w:color="auto" w:fill="auto"/>
            <w:noWrap/>
            <w:vAlign w:val="center"/>
            <w:hideMark/>
          </w:tcPr>
          <w:p w14:paraId="02B4BB6B"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99,792.15</w:t>
            </w:r>
          </w:p>
        </w:tc>
      </w:tr>
      <w:tr w:rsidR="00461284" w:rsidRPr="005732FC" w14:paraId="132DC19D" w14:textId="77777777" w:rsidTr="0014577C">
        <w:trPr>
          <w:trHeight w:val="20"/>
        </w:trPr>
        <w:tc>
          <w:tcPr>
            <w:tcW w:w="5529" w:type="dxa"/>
            <w:tcBorders>
              <w:top w:val="nil"/>
              <w:left w:val="nil"/>
              <w:bottom w:val="nil"/>
              <w:right w:val="nil"/>
            </w:tcBorders>
            <w:shd w:val="clear" w:color="auto" w:fill="auto"/>
            <w:noWrap/>
            <w:vAlign w:val="center"/>
            <w:hideMark/>
          </w:tcPr>
          <w:p w14:paraId="4D315271"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Scotiabank 190</w:t>
            </w:r>
          </w:p>
        </w:tc>
        <w:tc>
          <w:tcPr>
            <w:tcW w:w="1984" w:type="dxa"/>
            <w:tcBorders>
              <w:top w:val="nil"/>
              <w:left w:val="nil"/>
              <w:bottom w:val="nil"/>
              <w:right w:val="nil"/>
            </w:tcBorders>
            <w:shd w:val="clear" w:color="auto" w:fill="auto"/>
            <w:noWrap/>
            <w:vAlign w:val="center"/>
            <w:hideMark/>
          </w:tcPr>
          <w:p w14:paraId="7834A65E"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2,312.48</w:t>
            </w:r>
          </w:p>
        </w:tc>
        <w:tc>
          <w:tcPr>
            <w:tcW w:w="2410" w:type="dxa"/>
            <w:tcBorders>
              <w:top w:val="nil"/>
              <w:left w:val="nil"/>
              <w:bottom w:val="nil"/>
              <w:right w:val="nil"/>
            </w:tcBorders>
            <w:shd w:val="clear" w:color="auto" w:fill="auto"/>
            <w:noWrap/>
            <w:vAlign w:val="center"/>
            <w:hideMark/>
          </w:tcPr>
          <w:p w14:paraId="16DF64E1"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2,312.48</w:t>
            </w:r>
          </w:p>
        </w:tc>
      </w:tr>
      <w:tr w:rsidR="00461284" w:rsidRPr="005732FC" w14:paraId="2F177769" w14:textId="77777777" w:rsidTr="0014577C">
        <w:trPr>
          <w:trHeight w:val="20"/>
        </w:trPr>
        <w:tc>
          <w:tcPr>
            <w:tcW w:w="5529" w:type="dxa"/>
            <w:tcBorders>
              <w:top w:val="nil"/>
              <w:left w:val="nil"/>
              <w:bottom w:val="nil"/>
              <w:right w:val="nil"/>
            </w:tcBorders>
            <w:shd w:val="clear" w:color="auto" w:fill="auto"/>
            <w:noWrap/>
            <w:vAlign w:val="center"/>
            <w:hideMark/>
          </w:tcPr>
          <w:p w14:paraId="5D696E83"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251</w:t>
            </w:r>
          </w:p>
        </w:tc>
        <w:tc>
          <w:tcPr>
            <w:tcW w:w="1984" w:type="dxa"/>
            <w:tcBorders>
              <w:top w:val="nil"/>
              <w:left w:val="nil"/>
              <w:bottom w:val="nil"/>
              <w:right w:val="nil"/>
            </w:tcBorders>
            <w:shd w:val="clear" w:color="auto" w:fill="auto"/>
            <w:noWrap/>
            <w:vAlign w:val="center"/>
            <w:hideMark/>
          </w:tcPr>
          <w:p w14:paraId="30C1868F"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1,167,025.74</w:t>
            </w:r>
          </w:p>
        </w:tc>
        <w:tc>
          <w:tcPr>
            <w:tcW w:w="2410" w:type="dxa"/>
            <w:tcBorders>
              <w:top w:val="nil"/>
              <w:left w:val="nil"/>
              <w:bottom w:val="nil"/>
              <w:right w:val="nil"/>
            </w:tcBorders>
            <w:shd w:val="clear" w:color="auto" w:fill="auto"/>
            <w:noWrap/>
            <w:vAlign w:val="center"/>
            <w:hideMark/>
          </w:tcPr>
          <w:p w14:paraId="0B53F62B"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1,167,025.74</w:t>
            </w:r>
          </w:p>
        </w:tc>
      </w:tr>
      <w:tr w:rsidR="00461284" w:rsidRPr="005732FC" w14:paraId="45E2278B" w14:textId="77777777" w:rsidTr="0014577C">
        <w:trPr>
          <w:trHeight w:val="20"/>
        </w:trPr>
        <w:tc>
          <w:tcPr>
            <w:tcW w:w="5529" w:type="dxa"/>
            <w:tcBorders>
              <w:top w:val="nil"/>
              <w:left w:val="nil"/>
              <w:bottom w:val="nil"/>
              <w:right w:val="nil"/>
            </w:tcBorders>
            <w:shd w:val="clear" w:color="auto" w:fill="auto"/>
            <w:noWrap/>
            <w:vAlign w:val="center"/>
            <w:hideMark/>
          </w:tcPr>
          <w:p w14:paraId="324CBBEE"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293</w:t>
            </w:r>
          </w:p>
        </w:tc>
        <w:tc>
          <w:tcPr>
            <w:tcW w:w="1984" w:type="dxa"/>
            <w:tcBorders>
              <w:top w:val="nil"/>
              <w:left w:val="nil"/>
              <w:bottom w:val="nil"/>
              <w:right w:val="nil"/>
            </w:tcBorders>
            <w:shd w:val="clear" w:color="auto" w:fill="auto"/>
            <w:noWrap/>
            <w:vAlign w:val="center"/>
            <w:hideMark/>
          </w:tcPr>
          <w:p w14:paraId="44D2698F"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29,540.01</w:t>
            </w:r>
          </w:p>
        </w:tc>
        <w:tc>
          <w:tcPr>
            <w:tcW w:w="2410" w:type="dxa"/>
            <w:tcBorders>
              <w:top w:val="nil"/>
              <w:left w:val="nil"/>
              <w:bottom w:val="nil"/>
              <w:right w:val="nil"/>
            </w:tcBorders>
            <w:shd w:val="clear" w:color="auto" w:fill="auto"/>
            <w:noWrap/>
            <w:vAlign w:val="center"/>
            <w:hideMark/>
          </w:tcPr>
          <w:p w14:paraId="57287375"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29,540.01</w:t>
            </w:r>
          </w:p>
        </w:tc>
      </w:tr>
      <w:tr w:rsidR="00461284" w:rsidRPr="005732FC" w14:paraId="248646B0" w14:textId="77777777" w:rsidTr="0014577C">
        <w:trPr>
          <w:trHeight w:val="20"/>
        </w:trPr>
        <w:tc>
          <w:tcPr>
            <w:tcW w:w="5529" w:type="dxa"/>
            <w:tcBorders>
              <w:top w:val="nil"/>
              <w:left w:val="nil"/>
              <w:bottom w:val="nil"/>
              <w:right w:val="nil"/>
            </w:tcBorders>
            <w:shd w:val="clear" w:color="auto" w:fill="auto"/>
            <w:noWrap/>
            <w:vAlign w:val="center"/>
            <w:hideMark/>
          </w:tcPr>
          <w:p w14:paraId="1013E9BF"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392</w:t>
            </w:r>
          </w:p>
        </w:tc>
        <w:tc>
          <w:tcPr>
            <w:tcW w:w="1984" w:type="dxa"/>
            <w:tcBorders>
              <w:top w:val="nil"/>
              <w:left w:val="nil"/>
              <w:bottom w:val="nil"/>
              <w:right w:val="nil"/>
            </w:tcBorders>
            <w:shd w:val="clear" w:color="auto" w:fill="auto"/>
            <w:noWrap/>
            <w:vAlign w:val="center"/>
            <w:hideMark/>
          </w:tcPr>
          <w:p w14:paraId="66FB0D97"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2,627,791.79</w:t>
            </w:r>
          </w:p>
        </w:tc>
        <w:tc>
          <w:tcPr>
            <w:tcW w:w="2410" w:type="dxa"/>
            <w:tcBorders>
              <w:top w:val="nil"/>
              <w:left w:val="nil"/>
              <w:bottom w:val="nil"/>
              <w:right w:val="nil"/>
            </w:tcBorders>
            <w:shd w:val="clear" w:color="auto" w:fill="auto"/>
            <w:noWrap/>
            <w:vAlign w:val="center"/>
            <w:hideMark/>
          </w:tcPr>
          <w:p w14:paraId="4845457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2,627,791.79</w:t>
            </w:r>
          </w:p>
        </w:tc>
      </w:tr>
      <w:tr w:rsidR="00461284" w:rsidRPr="005732FC" w14:paraId="730B799E" w14:textId="77777777" w:rsidTr="0014577C">
        <w:trPr>
          <w:trHeight w:val="20"/>
        </w:trPr>
        <w:tc>
          <w:tcPr>
            <w:tcW w:w="5529" w:type="dxa"/>
            <w:tcBorders>
              <w:top w:val="nil"/>
              <w:left w:val="nil"/>
              <w:bottom w:val="nil"/>
              <w:right w:val="nil"/>
            </w:tcBorders>
            <w:shd w:val="clear" w:color="auto" w:fill="auto"/>
            <w:noWrap/>
            <w:vAlign w:val="center"/>
            <w:hideMark/>
          </w:tcPr>
          <w:p w14:paraId="4E5295B8"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400</w:t>
            </w:r>
          </w:p>
        </w:tc>
        <w:tc>
          <w:tcPr>
            <w:tcW w:w="1984" w:type="dxa"/>
            <w:tcBorders>
              <w:top w:val="nil"/>
              <w:left w:val="nil"/>
              <w:bottom w:val="nil"/>
              <w:right w:val="nil"/>
            </w:tcBorders>
            <w:shd w:val="clear" w:color="auto" w:fill="auto"/>
            <w:noWrap/>
            <w:vAlign w:val="center"/>
            <w:hideMark/>
          </w:tcPr>
          <w:p w14:paraId="51468E22"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2,392,286.55</w:t>
            </w:r>
          </w:p>
        </w:tc>
        <w:tc>
          <w:tcPr>
            <w:tcW w:w="2410" w:type="dxa"/>
            <w:tcBorders>
              <w:top w:val="nil"/>
              <w:left w:val="nil"/>
              <w:bottom w:val="nil"/>
              <w:right w:val="nil"/>
            </w:tcBorders>
            <w:shd w:val="clear" w:color="auto" w:fill="auto"/>
            <w:noWrap/>
            <w:vAlign w:val="center"/>
            <w:hideMark/>
          </w:tcPr>
          <w:p w14:paraId="1AC78379"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2,392,286.55</w:t>
            </w:r>
          </w:p>
        </w:tc>
      </w:tr>
      <w:tr w:rsidR="00461284" w:rsidRPr="005732FC" w14:paraId="3DC96332" w14:textId="77777777" w:rsidTr="0014577C">
        <w:trPr>
          <w:trHeight w:val="20"/>
        </w:trPr>
        <w:tc>
          <w:tcPr>
            <w:tcW w:w="5529" w:type="dxa"/>
            <w:tcBorders>
              <w:top w:val="nil"/>
              <w:left w:val="nil"/>
              <w:bottom w:val="nil"/>
              <w:right w:val="nil"/>
            </w:tcBorders>
            <w:shd w:val="clear" w:color="auto" w:fill="auto"/>
            <w:noWrap/>
            <w:vAlign w:val="center"/>
            <w:hideMark/>
          </w:tcPr>
          <w:p w14:paraId="1A45993D"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418</w:t>
            </w:r>
          </w:p>
        </w:tc>
        <w:tc>
          <w:tcPr>
            <w:tcW w:w="1984" w:type="dxa"/>
            <w:tcBorders>
              <w:top w:val="nil"/>
              <w:left w:val="nil"/>
              <w:bottom w:val="nil"/>
              <w:right w:val="nil"/>
            </w:tcBorders>
            <w:shd w:val="clear" w:color="auto" w:fill="auto"/>
            <w:noWrap/>
            <w:vAlign w:val="center"/>
            <w:hideMark/>
          </w:tcPr>
          <w:p w14:paraId="7B146FEE"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3,546.00</w:t>
            </w:r>
          </w:p>
        </w:tc>
        <w:tc>
          <w:tcPr>
            <w:tcW w:w="2410" w:type="dxa"/>
            <w:tcBorders>
              <w:top w:val="nil"/>
              <w:left w:val="nil"/>
              <w:bottom w:val="nil"/>
              <w:right w:val="nil"/>
            </w:tcBorders>
            <w:shd w:val="clear" w:color="auto" w:fill="auto"/>
            <w:noWrap/>
            <w:vAlign w:val="center"/>
            <w:hideMark/>
          </w:tcPr>
          <w:p w14:paraId="5A16F532"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3,546.00</w:t>
            </w:r>
          </w:p>
        </w:tc>
      </w:tr>
      <w:tr w:rsidR="00461284" w:rsidRPr="005732FC" w14:paraId="529AA992" w14:textId="77777777" w:rsidTr="0014577C">
        <w:trPr>
          <w:trHeight w:val="20"/>
        </w:trPr>
        <w:tc>
          <w:tcPr>
            <w:tcW w:w="5529" w:type="dxa"/>
            <w:tcBorders>
              <w:top w:val="nil"/>
              <w:left w:val="nil"/>
              <w:bottom w:val="nil"/>
              <w:right w:val="nil"/>
            </w:tcBorders>
            <w:shd w:val="clear" w:color="auto" w:fill="auto"/>
            <w:noWrap/>
            <w:vAlign w:val="center"/>
            <w:hideMark/>
          </w:tcPr>
          <w:p w14:paraId="71EF3B72"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426</w:t>
            </w:r>
          </w:p>
        </w:tc>
        <w:tc>
          <w:tcPr>
            <w:tcW w:w="1984" w:type="dxa"/>
            <w:tcBorders>
              <w:top w:val="nil"/>
              <w:left w:val="nil"/>
              <w:bottom w:val="nil"/>
              <w:right w:val="nil"/>
            </w:tcBorders>
            <w:shd w:val="clear" w:color="auto" w:fill="auto"/>
            <w:noWrap/>
            <w:vAlign w:val="center"/>
            <w:hideMark/>
          </w:tcPr>
          <w:p w14:paraId="01C86CCB" w14:textId="5243DCEE"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1,858,</w:t>
            </w:r>
            <w:r w:rsidR="006A703F">
              <w:rPr>
                <w:rFonts w:ascii="Arial" w:eastAsia="Times New Roman" w:hAnsi="Arial" w:cs="Arial"/>
                <w:color w:val="000000"/>
                <w:kern w:val="0"/>
                <w:sz w:val="20"/>
                <w:szCs w:val="20"/>
                <w:lang w:eastAsia="es-MX"/>
                <w14:ligatures w14:val="none"/>
              </w:rPr>
              <w:t>542</w:t>
            </w:r>
            <w:r w:rsidRPr="005732FC">
              <w:rPr>
                <w:rFonts w:ascii="Arial" w:eastAsia="Times New Roman" w:hAnsi="Arial" w:cs="Arial"/>
                <w:color w:val="000000"/>
                <w:kern w:val="0"/>
                <w:sz w:val="20"/>
                <w:szCs w:val="20"/>
                <w:lang w:eastAsia="es-MX"/>
                <w14:ligatures w14:val="none"/>
              </w:rPr>
              <w:t>.91</w:t>
            </w:r>
          </w:p>
        </w:tc>
        <w:tc>
          <w:tcPr>
            <w:tcW w:w="2410" w:type="dxa"/>
            <w:tcBorders>
              <w:top w:val="nil"/>
              <w:left w:val="nil"/>
              <w:bottom w:val="nil"/>
              <w:right w:val="nil"/>
            </w:tcBorders>
            <w:shd w:val="clear" w:color="auto" w:fill="auto"/>
            <w:noWrap/>
            <w:vAlign w:val="center"/>
            <w:hideMark/>
          </w:tcPr>
          <w:p w14:paraId="01025C46" w14:textId="63F139D1"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1,858,</w:t>
            </w:r>
            <w:r w:rsidR="006A703F" w:rsidRPr="005732FC">
              <w:rPr>
                <w:rFonts w:ascii="Arial" w:eastAsia="Times New Roman" w:hAnsi="Arial" w:cs="Arial"/>
                <w:color w:val="000000"/>
                <w:kern w:val="0"/>
                <w:sz w:val="20"/>
                <w:szCs w:val="20"/>
                <w:lang w:eastAsia="es-MX"/>
                <w14:ligatures w14:val="none"/>
              </w:rPr>
              <w:t>651.91</w:t>
            </w:r>
          </w:p>
        </w:tc>
      </w:tr>
      <w:tr w:rsidR="00461284" w:rsidRPr="005732FC" w14:paraId="066AD994" w14:textId="77777777" w:rsidTr="0014577C">
        <w:trPr>
          <w:trHeight w:val="20"/>
        </w:trPr>
        <w:tc>
          <w:tcPr>
            <w:tcW w:w="5529" w:type="dxa"/>
            <w:tcBorders>
              <w:top w:val="nil"/>
              <w:left w:val="nil"/>
              <w:bottom w:val="nil"/>
              <w:right w:val="nil"/>
            </w:tcBorders>
            <w:shd w:val="clear" w:color="auto" w:fill="auto"/>
            <w:noWrap/>
            <w:vAlign w:val="center"/>
            <w:hideMark/>
          </w:tcPr>
          <w:p w14:paraId="12682319"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660</w:t>
            </w:r>
          </w:p>
        </w:tc>
        <w:tc>
          <w:tcPr>
            <w:tcW w:w="1984" w:type="dxa"/>
            <w:tcBorders>
              <w:top w:val="nil"/>
              <w:left w:val="nil"/>
              <w:bottom w:val="nil"/>
              <w:right w:val="nil"/>
            </w:tcBorders>
            <w:shd w:val="clear" w:color="auto" w:fill="auto"/>
            <w:noWrap/>
            <w:vAlign w:val="center"/>
            <w:hideMark/>
          </w:tcPr>
          <w:p w14:paraId="40172D61"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693,099.00</w:t>
            </w:r>
          </w:p>
        </w:tc>
        <w:tc>
          <w:tcPr>
            <w:tcW w:w="2410" w:type="dxa"/>
            <w:tcBorders>
              <w:top w:val="nil"/>
              <w:left w:val="nil"/>
              <w:bottom w:val="nil"/>
              <w:right w:val="nil"/>
            </w:tcBorders>
            <w:shd w:val="clear" w:color="auto" w:fill="auto"/>
            <w:noWrap/>
            <w:vAlign w:val="center"/>
            <w:hideMark/>
          </w:tcPr>
          <w:p w14:paraId="5434BE06"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700,197.00</w:t>
            </w:r>
          </w:p>
        </w:tc>
      </w:tr>
      <w:tr w:rsidR="00461284" w:rsidRPr="005732FC" w14:paraId="50478F29" w14:textId="77777777" w:rsidTr="0014577C">
        <w:trPr>
          <w:trHeight w:val="20"/>
        </w:trPr>
        <w:tc>
          <w:tcPr>
            <w:tcW w:w="5529" w:type="dxa"/>
            <w:tcBorders>
              <w:top w:val="nil"/>
              <w:left w:val="nil"/>
              <w:bottom w:val="nil"/>
              <w:right w:val="nil"/>
            </w:tcBorders>
            <w:shd w:val="clear" w:color="auto" w:fill="auto"/>
            <w:noWrap/>
            <w:vAlign w:val="center"/>
            <w:hideMark/>
          </w:tcPr>
          <w:p w14:paraId="4C29BDBC"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BANORTE 798</w:t>
            </w:r>
          </w:p>
        </w:tc>
        <w:tc>
          <w:tcPr>
            <w:tcW w:w="1984" w:type="dxa"/>
            <w:tcBorders>
              <w:top w:val="nil"/>
              <w:left w:val="nil"/>
              <w:bottom w:val="nil"/>
              <w:right w:val="nil"/>
            </w:tcBorders>
            <w:shd w:val="clear" w:color="auto" w:fill="auto"/>
            <w:noWrap/>
            <w:vAlign w:val="center"/>
            <w:hideMark/>
          </w:tcPr>
          <w:p w14:paraId="7860AD42"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61,341.77</w:t>
            </w:r>
          </w:p>
        </w:tc>
        <w:tc>
          <w:tcPr>
            <w:tcW w:w="2410" w:type="dxa"/>
            <w:tcBorders>
              <w:top w:val="nil"/>
              <w:left w:val="nil"/>
              <w:bottom w:val="nil"/>
              <w:right w:val="nil"/>
            </w:tcBorders>
            <w:shd w:val="clear" w:color="auto" w:fill="auto"/>
            <w:noWrap/>
            <w:vAlign w:val="center"/>
            <w:hideMark/>
          </w:tcPr>
          <w:p w14:paraId="2FE3C69F"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61,341.77</w:t>
            </w:r>
          </w:p>
        </w:tc>
      </w:tr>
      <w:tr w:rsidR="00461284" w:rsidRPr="005732FC" w14:paraId="5E59A62B" w14:textId="77777777" w:rsidTr="0014577C">
        <w:trPr>
          <w:trHeight w:val="20"/>
        </w:trPr>
        <w:tc>
          <w:tcPr>
            <w:tcW w:w="5529" w:type="dxa"/>
            <w:tcBorders>
              <w:top w:val="nil"/>
              <w:left w:val="nil"/>
              <w:bottom w:val="nil"/>
              <w:right w:val="nil"/>
            </w:tcBorders>
            <w:shd w:val="clear" w:color="auto" w:fill="auto"/>
            <w:noWrap/>
            <w:vAlign w:val="center"/>
            <w:hideMark/>
          </w:tcPr>
          <w:p w14:paraId="644C0A15"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BANORTE 800</w:t>
            </w:r>
          </w:p>
        </w:tc>
        <w:tc>
          <w:tcPr>
            <w:tcW w:w="1984" w:type="dxa"/>
            <w:tcBorders>
              <w:top w:val="nil"/>
              <w:left w:val="nil"/>
              <w:bottom w:val="nil"/>
              <w:right w:val="nil"/>
            </w:tcBorders>
            <w:shd w:val="clear" w:color="auto" w:fill="auto"/>
            <w:noWrap/>
            <w:vAlign w:val="center"/>
            <w:hideMark/>
          </w:tcPr>
          <w:p w14:paraId="542BC0F0"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8,967.72</w:t>
            </w:r>
          </w:p>
        </w:tc>
        <w:tc>
          <w:tcPr>
            <w:tcW w:w="2410" w:type="dxa"/>
            <w:tcBorders>
              <w:top w:val="nil"/>
              <w:left w:val="nil"/>
              <w:bottom w:val="nil"/>
              <w:right w:val="nil"/>
            </w:tcBorders>
            <w:shd w:val="clear" w:color="auto" w:fill="auto"/>
            <w:noWrap/>
            <w:vAlign w:val="center"/>
            <w:hideMark/>
          </w:tcPr>
          <w:p w14:paraId="2D9593F3"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8,967.72</w:t>
            </w:r>
          </w:p>
        </w:tc>
      </w:tr>
      <w:tr w:rsidR="00461284" w:rsidRPr="005732FC" w14:paraId="48AA8DFC" w14:textId="77777777" w:rsidTr="0014577C">
        <w:trPr>
          <w:trHeight w:val="20"/>
        </w:trPr>
        <w:tc>
          <w:tcPr>
            <w:tcW w:w="5529" w:type="dxa"/>
            <w:tcBorders>
              <w:top w:val="nil"/>
              <w:left w:val="nil"/>
              <w:bottom w:val="nil"/>
              <w:right w:val="nil"/>
            </w:tcBorders>
            <w:shd w:val="clear" w:color="auto" w:fill="auto"/>
            <w:noWrap/>
            <w:vAlign w:val="center"/>
            <w:hideMark/>
          </w:tcPr>
          <w:p w14:paraId="3048B81B"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BANORTE 961</w:t>
            </w:r>
          </w:p>
        </w:tc>
        <w:tc>
          <w:tcPr>
            <w:tcW w:w="1984" w:type="dxa"/>
            <w:tcBorders>
              <w:top w:val="nil"/>
              <w:left w:val="nil"/>
              <w:bottom w:val="nil"/>
              <w:right w:val="nil"/>
            </w:tcBorders>
            <w:shd w:val="clear" w:color="auto" w:fill="auto"/>
            <w:noWrap/>
            <w:vAlign w:val="center"/>
            <w:hideMark/>
          </w:tcPr>
          <w:p w14:paraId="70CBC0A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6,593,242.72</w:t>
            </w:r>
          </w:p>
        </w:tc>
        <w:tc>
          <w:tcPr>
            <w:tcW w:w="2410" w:type="dxa"/>
            <w:tcBorders>
              <w:top w:val="nil"/>
              <w:left w:val="nil"/>
              <w:bottom w:val="nil"/>
              <w:right w:val="nil"/>
            </w:tcBorders>
            <w:shd w:val="clear" w:color="auto" w:fill="auto"/>
            <w:noWrap/>
            <w:vAlign w:val="center"/>
            <w:hideMark/>
          </w:tcPr>
          <w:p w14:paraId="53AA55CD"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6,593,242.72</w:t>
            </w:r>
          </w:p>
        </w:tc>
      </w:tr>
      <w:tr w:rsidR="00461284" w:rsidRPr="005732FC" w14:paraId="518D225F" w14:textId="77777777" w:rsidTr="0014577C">
        <w:trPr>
          <w:trHeight w:val="20"/>
        </w:trPr>
        <w:tc>
          <w:tcPr>
            <w:tcW w:w="5529" w:type="dxa"/>
            <w:tcBorders>
              <w:top w:val="nil"/>
              <w:left w:val="nil"/>
              <w:bottom w:val="nil"/>
              <w:right w:val="nil"/>
            </w:tcBorders>
            <w:shd w:val="clear" w:color="auto" w:fill="auto"/>
            <w:noWrap/>
            <w:vAlign w:val="center"/>
            <w:hideMark/>
          </w:tcPr>
          <w:p w14:paraId="5215E7B2"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Bancomer 414</w:t>
            </w:r>
          </w:p>
        </w:tc>
        <w:tc>
          <w:tcPr>
            <w:tcW w:w="1984" w:type="dxa"/>
            <w:tcBorders>
              <w:top w:val="nil"/>
              <w:left w:val="nil"/>
              <w:bottom w:val="nil"/>
              <w:right w:val="nil"/>
            </w:tcBorders>
            <w:shd w:val="clear" w:color="auto" w:fill="auto"/>
            <w:noWrap/>
            <w:vAlign w:val="center"/>
            <w:hideMark/>
          </w:tcPr>
          <w:p w14:paraId="2D6667C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316,347.31</w:t>
            </w:r>
          </w:p>
        </w:tc>
        <w:tc>
          <w:tcPr>
            <w:tcW w:w="2410" w:type="dxa"/>
            <w:tcBorders>
              <w:top w:val="nil"/>
              <w:left w:val="nil"/>
              <w:bottom w:val="nil"/>
              <w:right w:val="nil"/>
            </w:tcBorders>
            <w:shd w:val="clear" w:color="auto" w:fill="auto"/>
            <w:noWrap/>
            <w:vAlign w:val="center"/>
            <w:hideMark/>
          </w:tcPr>
          <w:p w14:paraId="4CA78459"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316,347.31</w:t>
            </w:r>
          </w:p>
        </w:tc>
      </w:tr>
      <w:tr w:rsidR="00461284" w:rsidRPr="005732FC" w14:paraId="1A8859C4" w14:textId="77777777" w:rsidTr="0014577C">
        <w:trPr>
          <w:trHeight w:val="20"/>
        </w:trPr>
        <w:tc>
          <w:tcPr>
            <w:tcW w:w="5529" w:type="dxa"/>
            <w:tcBorders>
              <w:top w:val="nil"/>
              <w:left w:val="nil"/>
              <w:bottom w:val="nil"/>
              <w:right w:val="nil"/>
            </w:tcBorders>
            <w:shd w:val="clear" w:color="auto" w:fill="auto"/>
            <w:noWrap/>
            <w:vAlign w:val="center"/>
            <w:hideMark/>
          </w:tcPr>
          <w:p w14:paraId="2E6C80C3"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973</w:t>
            </w:r>
          </w:p>
        </w:tc>
        <w:tc>
          <w:tcPr>
            <w:tcW w:w="1984" w:type="dxa"/>
            <w:tcBorders>
              <w:top w:val="nil"/>
              <w:left w:val="nil"/>
              <w:bottom w:val="nil"/>
              <w:right w:val="nil"/>
            </w:tcBorders>
            <w:shd w:val="clear" w:color="auto" w:fill="auto"/>
            <w:noWrap/>
            <w:vAlign w:val="center"/>
            <w:hideMark/>
          </w:tcPr>
          <w:p w14:paraId="1394820C"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460,487.14</w:t>
            </w:r>
          </w:p>
        </w:tc>
        <w:tc>
          <w:tcPr>
            <w:tcW w:w="2410" w:type="dxa"/>
            <w:tcBorders>
              <w:top w:val="nil"/>
              <w:left w:val="nil"/>
              <w:bottom w:val="nil"/>
              <w:right w:val="nil"/>
            </w:tcBorders>
            <w:shd w:val="clear" w:color="auto" w:fill="auto"/>
            <w:noWrap/>
            <w:vAlign w:val="center"/>
            <w:hideMark/>
          </w:tcPr>
          <w:p w14:paraId="434DCB98"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460,487.14</w:t>
            </w:r>
          </w:p>
        </w:tc>
      </w:tr>
      <w:tr w:rsidR="00461284" w:rsidRPr="005732FC" w14:paraId="6CECF8D1" w14:textId="77777777" w:rsidTr="0014577C">
        <w:trPr>
          <w:trHeight w:val="20"/>
        </w:trPr>
        <w:tc>
          <w:tcPr>
            <w:tcW w:w="5529" w:type="dxa"/>
            <w:tcBorders>
              <w:top w:val="nil"/>
              <w:left w:val="nil"/>
              <w:bottom w:val="nil"/>
              <w:right w:val="nil"/>
            </w:tcBorders>
            <w:shd w:val="clear" w:color="auto" w:fill="auto"/>
            <w:noWrap/>
            <w:vAlign w:val="center"/>
            <w:hideMark/>
          </w:tcPr>
          <w:p w14:paraId="7BE87BFB"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Scotiabank 996</w:t>
            </w:r>
          </w:p>
        </w:tc>
        <w:tc>
          <w:tcPr>
            <w:tcW w:w="1984" w:type="dxa"/>
            <w:tcBorders>
              <w:top w:val="nil"/>
              <w:left w:val="nil"/>
              <w:bottom w:val="nil"/>
              <w:right w:val="nil"/>
            </w:tcBorders>
            <w:shd w:val="clear" w:color="auto" w:fill="auto"/>
            <w:noWrap/>
            <w:vAlign w:val="center"/>
            <w:hideMark/>
          </w:tcPr>
          <w:p w14:paraId="20E94CD6"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78,356.29</w:t>
            </w:r>
          </w:p>
        </w:tc>
        <w:tc>
          <w:tcPr>
            <w:tcW w:w="2410" w:type="dxa"/>
            <w:tcBorders>
              <w:top w:val="nil"/>
              <w:left w:val="nil"/>
              <w:bottom w:val="nil"/>
              <w:right w:val="nil"/>
            </w:tcBorders>
            <w:shd w:val="clear" w:color="auto" w:fill="auto"/>
            <w:noWrap/>
            <w:vAlign w:val="center"/>
            <w:hideMark/>
          </w:tcPr>
          <w:p w14:paraId="313582F0"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78,356.29</w:t>
            </w:r>
          </w:p>
        </w:tc>
      </w:tr>
      <w:tr w:rsidR="00461284" w:rsidRPr="005732FC" w14:paraId="1D441BA4" w14:textId="77777777" w:rsidTr="0014577C">
        <w:trPr>
          <w:trHeight w:val="20"/>
        </w:trPr>
        <w:tc>
          <w:tcPr>
            <w:tcW w:w="5529" w:type="dxa"/>
            <w:tcBorders>
              <w:top w:val="nil"/>
              <w:left w:val="nil"/>
              <w:bottom w:val="nil"/>
              <w:right w:val="nil"/>
            </w:tcBorders>
            <w:shd w:val="clear" w:color="auto" w:fill="auto"/>
            <w:noWrap/>
            <w:vAlign w:val="center"/>
            <w:hideMark/>
          </w:tcPr>
          <w:p w14:paraId="5A125CA4"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Banorte 4098</w:t>
            </w:r>
          </w:p>
        </w:tc>
        <w:tc>
          <w:tcPr>
            <w:tcW w:w="1984" w:type="dxa"/>
            <w:tcBorders>
              <w:top w:val="nil"/>
              <w:left w:val="nil"/>
              <w:bottom w:val="nil"/>
              <w:right w:val="nil"/>
            </w:tcBorders>
            <w:shd w:val="clear" w:color="auto" w:fill="auto"/>
            <w:noWrap/>
            <w:vAlign w:val="center"/>
            <w:hideMark/>
          </w:tcPr>
          <w:p w14:paraId="0D78DD0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376,304.86</w:t>
            </w:r>
          </w:p>
        </w:tc>
        <w:tc>
          <w:tcPr>
            <w:tcW w:w="2410" w:type="dxa"/>
            <w:tcBorders>
              <w:top w:val="nil"/>
              <w:left w:val="nil"/>
              <w:bottom w:val="nil"/>
              <w:right w:val="nil"/>
            </w:tcBorders>
            <w:shd w:val="clear" w:color="auto" w:fill="auto"/>
            <w:noWrap/>
            <w:vAlign w:val="center"/>
            <w:hideMark/>
          </w:tcPr>
          <w:p w14:paraId="70C3A955"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376,304.86</w:t>
            </w:r>
          </w:p>
        </w:tc>
      </w:tr>
      <w:tr w:rsidR="00461284" w:rsidRPr="005732FC" w14:paraId="7D0E8B4F" w14:textId="77777777" w:rsidTr="0014577C">
        <w:trPr>
          <w:trHeight w:val="20"/>
        </w:trPr>
        <w:tc>
          <w:tcPr>
            <w:tcW w:w="5529" w:type="dxa"/>
            <w:tcBorders>
              <w:top w:val="nil"/>
              <w:left w:val="nil"/>
              <w:bottom w:val="nil"/>
              <w:right w:val="nil"/>
            </w:tcBorders>
            <w:shd w:val="clear" w:color="auto" w:fill="auto"/>
            <w:noWrap/>
            <w:vAlign w:val="center"/>
            <w:hideMark/>
          </w:tcPr>
          <w:p w14:paraId="58E51C7F"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4759</w:t>
            </w:r>
          </w:p>
        </w:tc>
        <w:tc>
          <w:tcPr>
            <w:tcW w:w="1984" w:type="dxa"/>
            <w:tcBorders>
              <w:top w:val="nil"/>
              <w:left w:val="nil"/>
              <w:bottom w:val="nil"/>
              <w:right w:val="nil"/>
            </w:tcBorders>
            <w:shd w:val="clear" w:color="auto" w:fill="auto"/>
            <w:noWrap/>
            <w:vAlign w:val="center"/>
            <w:hideMark/>
          </w:tcPr>
          <w:p w14:paraId="68831DA2"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10,635.00</w:t>
            </w:r>
          </w:p>
        </w:tc>
        <w:tc>
          <w:tcPr>
            <w:tcW w:w="2410" w:type="dxa"/>
            <w:tcBorders>
              <w:top w:val="nil"/>
              <w:left w:val="nil"/>
              <w:bottom w:val="nil"/>
              <w:right w:val="nil"/>
            </w:tcBorders>
            <w:shd w:val="clear" w:color="auto" w:fill="auto"/>
            <w:noWrap/>
            <w:vAlign w:val="center"/>
            <w:hideMark/>
          </w:tcPr>
          <w:p w14:paraId="0914C677"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10,635.00</w:t>
            </w:r>
          </w:p>
        </w:tc>
      </w:tr>
      <w:tr w:rsidR="00461284" w:rsidRPr="005732FC" w14:paraId="4113CFD5" w14:textId="77777777" w:rsidTr="0014577C">
        <w:trPr>
          <w:trHeight w:val="20"/>
        </w:trPr>
        <w:tc>
          <w:tcPr>
            <w:tcW w:w="5529" w:type="dxa"/>
            <w:tcBorders>
              <w:top w:val="nil"/>
              <w:left w:val="nil"/>
              <w:bottom w:val="nil"/>
              <w:right w:val="nil"/>
            </w:tcBorders>
            <w:shd w:val="clear" w:color="auto" w:fill="auto"/>
            <w:noWrap/>
            <w:vAlign w:val="center"/>
            <w:hideMark/>
          </w:tcPr>
          <w:p w14:paraId="32034BDD"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919</w:t>
            </w:r>
          </w:p>
        </w:tc>
        <w:tc>
          <w:tcPr>
            <w:tcW w:w="1984" w:type="dxa"/>
            <w:tcBorders>
              <w:top w:val="nil"/>
              <w:left w:val="nil"/>
              <w:bottom w:val="nil"/>
              <w:right w:val="nil"/>
            </w:tcBorders>
            <w:shd w:val="clear" w:color="auto" w:fill="auto"/>
            <w:noWrap/>
            <w:vAlign w:val="center"/>
            <w:hideMark/>
          </w:tcPr>
          <w:p w14:paraId="438221FF"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136,166.31</w:t>
            </w:r>
          </w:p>
        </w:tc>
        <w:tc>
          <w:tcPr>
            <w:tcW w:w="2410" w:type="dxa"/>
            <w:tcBorders>
              <w:top w:val="nil"/>
              <w:left w:val="nil"/>
              <w:bottom w:val="nil"/>
              <w:right w:val="nil"/>
            </w:tcBorders>
            <w:shd w:val="clear" w:color="auto" w:fill="auto"/>
            <w:noWrap/>
            <w:vAlign w:val="center"/>
            <w:hideMark/>
          </w:tcPr>
          <w:p w14:paraId="725EFCC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136,166.31</w:t>
            </w:r>
          </w:p>
        </w:tc>
      </w:tr>
      <w:tr w:rsidR="00461284" w:rsidRPr="005732FC" w14:paraId="22650F05" w14:textId="77777777" w:rsidTr="0014577C">
        <w:trPr>
          <w:trHeight w:val="20"/>
        </w:trPr>
        <w:tc>
          <w:tcPr>
            <w:tcW w:w="5529" w:type="dxa"/>
            <w:tcBorders>
              <w:top w:val="nil"/>
              <w:left w:val="nil"/>
              <w:bottom w:val="nil"/>
              <w:right w:val="nil"/>
            </w:tcBorders>
            <w:shd w:val="clear" w:color="auto" w:fill="auto"/>
            <w:noWrap/>
            <w:vAlign w:val="center"/>
            <w:hideMark/>
          </w:tcPr>
          <w:p w14:paraId="3018F61F"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Banorte 295</w:t>
            </w:r>
          </w:p>
        </w:tc>
        <w:tc>
          <w:tcPr>
            <w:tcW w:w="1984" w:type="dxa"/>
            <w:tcBorders>
              <w:top w:val="nil"/>
              <w:left w:val="nil"/>
              <w:bottom w:val="nil"/>
              <w:right w:val="nil"/>
            </w:tcBorders>
            <w:shd w:val="clear" w:color="auto" w:fill="auto"/>
            <w:noWrap/>
            <w:vAlign w:val="center"/>
            <w:hideMark/>
          </w:tcPr>
          <w:p w14:paraId="48A6D1A3"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186,433.87</w:t>
            </w:r>
          </w:p>
        </w:tc>
        <w:tc>
          <w:tcPr>
            <w:tcW w:w="2410" w:type="dxa"/>
            <w:tcBorders>
              <w:top w:val="nil"/>
              <w:left w:val="nil"/>
              <w:bottom w:val="nil"/>
              <w:right w:val="nil"/>
            </w:tcBorders>
            <w:shd w:val="clear" w:color="auto" w:fill="auto"/>
            <w:noWrap/>
            <w:vAlign w:val="center"/>
            <w:hideMark/>
          </w:tcPr>
          <w:p w14:paraId="42C533E7"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186,433.87</w:t>
            </w:r>
          </w:p>
        </w:tc>
      </w:tr>
      <w:tr w:rsidR="00461284" w:rsidRPr="005732FC" w14:paraId="5EDEE827" w14:textId="77777777" w:rsidTr="0014577C">
        <w:trPr>
          <w:trHeight w:val="20"/>
        </w:trPr>
        <w:tc>
          <w:tcPr>
            <w:tcW w:w="5529" w:type="dxa"/>
            <w:tcBorders>
              <w:top w:val="nil"/>
              <w:left w:val="nil"/>
              <w:bottom w:val="nil"/>
              <w:right w:val="nil"/>
            </w:tcBorders>
            <w:shd w:val="clear" w:color="auto" w:fill="auto"/>
            <w:noWrap/>
            <w:vAlign w:val="center"/>
            <w:hideMark/>
          </w:tcPr>
          <w:p w14:paraId="19FDEE16"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327</w:t>
            </w:r>
          </w:p>
        </w:tc>
        <w:tc>
          <w:tcPr>
            <w:tcW w:w="1984" w:type="dxa"/>
            <w:tcBorders>
              <w:top w:val="nil"/>
              <w:left w:val="nil"/>
              <w:bottom w:val="nil"/>
              <w:right w:val="nil"/>
            </w:tcBorders>
            <w:shd w:val="clear" w:color="auto" w:fill="auto"/>
            <w:noWrap/>
            <w:vAlign w:val="center"/>
            <w:hideMark/>
          </w:tcPr>
          <w:p w14:paraId="3DA38F78"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30,715.96</w:t>
            </w:r>
          </w:p>
        </w:tc>
        <w:tc>
          <w:tcPr>
            <w:tcW w:w="2410" w:type="dxa"/>
            <w:tcBorders>
              <w:top w:val="nil"/>
              <w:left w:val="nil"/>
              <w:bottom w:val="nil"/>
              <w:right w:val="nil"/>
            </w:tcBorders>
            <w:shd w:val="clear" w:color="auto" w:fill="auto"/>
            <w:noWrap/>
            <w:vAlign w:val="center"/>
            <w:hideMark/>
          </w:tcPr>
          <w:p w14:paraId="46C3C16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30,715.96</w:t>
            </w:r>
          </w:p>
        </w:tc>
      </w:tr>
      <w:tr w:rsidR="00461284" w:rsidRPr="005732FC" w14:paraId="7CB3768F" w14:textId="77777777" w:rsidTr="0014577C">
        <w:trPr>
          <w:trHeight w:val="20"/>
        </w:trPr>
        <w:tc>
          <w:tcPr>
            <w:tcW w:w="5529" w:type="dxa"/>
            <w:tcBorders>
              <w:top w:val="nil"/>
              <w:left w:val="nil"/>
              <w:bottom w:val="nil"/>
              <w:right w:val="nil"/>
            </w:tcBorders>
            <w:shd w:val="clear" w:color="auto" w:fill="auto"/>
            <w:noWrap/>
            <w:vAlign w:val="center"/>
            <w:hideMark/>
          </w:tcPr>
          <w:p w14:paraId="287CFD4E"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HSCB 335</w:t>
            </w:r>
          </w:p>
        </w:tc>
        <w:tc>
          <w:tcPr>
            <w:tcW w:w="1984" w:type="dxa"/>
            <w:tcBorders>
              <w:top w:val="nil"/>
              <w:left w:val="nil"/>
              <w:bottom w:val="nil"/>
              <w:right w:val="nil"/>
            </w:tcBorders>
            <w:shd w:val="clear" w:color="auto" w:fill="auto"/>
            <w:noWrap/>
            <w:vAlign w:val="center"/>
            <w:hideMark/>
          </w:tcPr>
          <w:p w14:paraId="5E0E6AB5"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115,413.85</w:t>
            </w:r>
          </w:p>
        </w:tc>
        <w:tc>
          <w:tcPr>
            <w:tcW w:w="2410" w:type="dxa"/>
            <w:tcBorders>
              <w:top w:val="nil"/>
              <w:left w:val="nil"/>
              <w:bottom w:val="nil"/>
              <w:right w:val="nil"/>
            </w:tcBorders>
            <w:shd w:val="clear" w:color="auto" w:fill="auto"/>
            <w:noWrap/>
            <w:vAlign w:val="center"/>
            <w:hideMark/>
          </w:tcPr>
          <w:p w14:paraId="6A2085A2"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115,413.85</w:t>
            </w:r>
          </w:p>
        </w:tc>
      </w:tr>
      <w:tr w:rsidR="00461284" w:rsidRPr="005732FC" w14:paraId="654F7014" w14:textId="77777777" w:rsidTr="0014577C">
        <w:trPr>
          <w:trHeight w:val="20"/>
        </w:trPr>
        <w:tc>
          <w:tcPr>
            <w:tcW w:w="5529" w:type="dxa"/>
            <w:tcBorders>
              <w:top w:val="nil"/>
              <w:left w:val="nil"/>
              <w:bottom w:val="nil"/>
              <w:right w:val="nil"/>
            </w:tcBorders>
            <w:shd w:val="clear" w:color="auto" w:fill="auto"/>
            <w:noWrap/>
            <w:vAlign w:val="center"/>
            <w:hideMark/>
          </w:tcPr>
          <w:p w14:paraId="0BD83C92"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Santander 913</w:t>
            </w:r>
          </w:p>
        </w:tc>
        <w:tc>
          <w:tcPr>
            <w:tcW w:w="1984" w:type="dxa"/>
            <w:tcBorders>
              <w:top w:val="nil"/>
              <w:left w:val="nil"/>
              <w:bottom w:val="nil"/>
              <w:right w:val="nil"/>
            </w:tcBorders>
            <w:shd w:val="clear" w:color="auto" w:fill="auto"/>
            <w:noWrap/>
            <w:vAlign w:val="center"/>
            <w:hideMark/>
          </w:tcPr>
          <w:p w14:paraId="019860D2"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101,160.95</w:t>
            </w:r>
          </w:p>
        </w:tc>
        <w:tc>
          <w:tcPr>
            <w:tcW w:w="2410" w:type="dxa"/>
            <w:tcBorders>
              <w:top w:val="nil"/>
              <w:left w:val="nil"/>
              <w:bottom w:val="nil"/>
              <w:right w:val="nil"/>
            </w:tcBorders>
            <w:shd w:val="clear" w:color="auto" w:fill="auto"/>
            <w:noWrap/>
            <w:vAlign w:val="center"/>
            <w:hideMark/>
          </w:tcPr>
          <w:p w14:paraId="4DC6F91B"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101,160.95</w:t>
            </w:r>
          </w:p>
        </w:tc>
      </w:tr>
      <w:tr w:rsidR="00461284" w:rsidRPr="005732FC" w14:paraId="5BA2A4C7" w14:textId="77777777" w:rsidTr="0014577C">
        <w:trPr>
          <w:trHeight w:val="20"/>
        </w:trPr>
        <w:tc>
          <w:tcPr>
            <w:tcW w:w="5529" w:type="dxa"/>
            <w:tcBorders>
              <w:top w:val="nil"/>
              <w:left w:val="nil"/>
              <w:bottom w:val="nil"/>
              <w:right w:val="nil"/>
            </w:tcBorders>
            <w:shd w:val="clear" w:color="auto" w:fill="auto"/>
            <w:noWrap/>
            <w:vAlign w:val="center"/>
            <w:hideMark/>
          </w:tcPr>
          <w:p w14:paraId="338B8A74"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Santander 029</w:t>
            </w:r>
          </w:p>
        </w:tc>
        <w:tc>
          <w:tcPr>
            <w:tcW w:w="1984" w:type="dxa"/>
            <w:tcBorders>
              <w:top w:val="nil"/>
              <w:left w:val="nil"/>
              <w:bottom w:val="nil"/>
              <w:right w:val="nil"/>
            </w:tcBorders>
            <w:shd w:val="clear" w:color="auto" w:fill="auto"/>
            <w:noWrap/>
            <w:vAlign w:val="center"/>
            <w:hideMark/>
          </w:tcPr>
          <w:p w14:paraId="0B4B6028"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129,420.29</w:t>
            </w:r>
          </w:p>
        </w:tc>
        <w:tc>
          <w:tcPr>
            <w:tcW w:w="2410" w:type="dxa"/>
            <w:tcBorders>
              <w:top w:val="nil"/>
              <w:left w:val="nil"/>
              <w:bottom w:val="nil"/>
              <w:right w:val="nil"/>
            </w:tcBorders>
            <w:shd w:val="clear" w:color="auto" w:fill="auto"/>
            <w:noWrap/>
            <w:vAlign w:val="center"/>
            <w:hideMark/>
          </w:tcPr>
          <w:p w14:paraId="65B4941A"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129,420.29</w:t>
            </w:r>
          </w:p>
        </w:tc>
      </w:tr>
      <w:tr w:rsidR="00461284" w:rsidRPr="005732FC" w14:paraId="4B4BEA3C" w14:textId="77777777" w:rsidTr="0014577C">
        <w:trPr>
          <w:trHeight w:val="20"/>
        </w:trPr>
        <w:tc>
          <w:tcPr>
            <w:tcW w:w="5529" w:type="dxa"/>
            <w:tcBorders>
              <w:top w:val="nil"/>
              <w:left w:val="nil"/>
              <w:bottom w:val="nil"/>
              <w:right w:val="nil"/>
            </w:tcBorders>
            <w:shd w:val="clear" w:color="auto" w:fill="auto"/>
            <w:noWrap/>
            <w:vAlign w:val="center"/>
            <w:hideMark/>
          </w:tcPr>
          <w:p w14:paraId="09983F63"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Santander 029</w:t>
            </w:r>
          </w:p>
        </w:tc>
        <w:tc>
          <w:tcPr>
            <w:tcW w:w="1984" w:type="dxa"/>
            <w:tcBorders>
              <w:top w:val="nil"/>
              <w:left w:val="nil"/>
              <w:bottom w:val="nil"/>
              <w:right w:val="nil"/>
            </w:tcBorders>
            <w:shd w:val="clear" w:color="auto" w:fill="auto"/>
            <w:noWrap/>
            <w:vAlign w:val="center"/>
            <w:hideMark/>
          </w:tcPr>
          <w:p w14:paraId="30C46B51"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2,125.80</w:t>
            </w:r>
          </w:p>
        </w:tc>
        <w:tc>
          <w:tcPr>
            <w:tcW w:w="2410" w:type="dxa"/>
            <w:tcBorders>
              <w:top w:val="nil"/>
              <w:left w:val="nil"/>
              <w:bottom w:val="nil"/>
              <w:right w:val="nil"/>
            </w:tcBorders>
            <w:shd w:val="clear" w:color="auto" w:fill="auto"/>
            <w:noWrap/>
            <w:vAlign w:val="center"/>
            <w:hideMark/>
          </w:tcPr>
          <w:p w14:paraId="7A55DEA9"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2,125.80</w:t>
            </w:r>
          </w:p>
        </w:tc>
      </w:tr>
      <w:tr w:rsidR="00461284" w:rsidRPr="005732FC" w14:paraId="3A33CD72" w14:textId="77777777" w:rsidTr="0014577C">
        <w:trPr>
          <w:trHeight w:val="20"/>
        </w:trPr>
        <w:tc>
          <w:tcPr>
            <w:tcW w:w="5529" w:type="dxa"/>
            <w:tcBorders>
              <w:top w:val="nil"/>
              <w:left w:val="nil"/>
              <w:bottom w:val="nil"/>
              <w:right w:val="nil"/>
            </w:tcBorders>
            <w:shd w:val="clear" w:color="auto" w:fill="auto"/>
            <w:noWrap/>
            <w:vAlign w:val="center"/>
            <w:hideMark/>
          </w:tcPr>
          <w:p w14:paraId="3A65EEEB"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Bancomer 042</w:t>
            </w:r>
          </w:p>
        </w:tc>
        <w:tc>
          <w:tcPr>
            <w:tcW w:w="1984" w:type="dxa"/>
            <w:tcBorders>
              <w:top w:val="nil"/>
              <w:left w:val="nil"/>
              <w:bottom w:val="nil"/>
              <w:right w:val="nil"/>
            </w:tcBorders>
            <w:shd w:val="clear" w:color="auto" w:fill="auto"/>
            <w:noWrap/>
            <w:vAlign w:val="center"/>
            <w:hideMark/>
          </w:tcPr>
          <w:p w14:paraId="738B6F28"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143,734.33</w:t>
            </w:r>
          </w:p>
        </w:tc>
        <w:tc>
          <w:tcPr>
            <w:tcW w:w="2410" w:type="dxa"/>
            <w:tcBorders>
              <w:top w:val="nil"/>
              <w:left w:val="nil"/>
              <w:bottom w:val="nil"/>
              <w:right w:val="nil"/>
            </w:tcBorders>
            <w:shd w:val="clear" w:color="auto" w:fill="auto"/>
            <w:noWrap/>
            <w:vAlign w:val="center"/>
            <w:hideMark/>
          </w:tcPr>
          <w:p w14:paraId="47343DCD"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143,734.33</w:t>
            </w:r>
          </w:p>
        </w:tc>
      </w:tr>
      <w:tr w:rsidR="00461284" w:rsidRPr="005732FC" w14:paraId="4AFBE22D" w14:textId="77777777" w:rsidTr="0014577C">
        <w:trPr>
          <w:trHeight w:val="20"/>
        </w:trPr>
        <w:tc>
          <w:tcPr>
            <w:tcW w:w="5529" w:type="dxa"/>
            <w:tcBorders>
              <w:top w:val="nil"/>
              <w:left w:val="nil"/>
              <w:bottom w:val="nil"/>
              <w:right w:val="nil"/>
            </w:tcBorders>
            <w:shd w:val="clear" w:color="auto" w:fill="auto"/>
            <w:noWrap/>
            <w:vAlign w:val="center"/>
            <w:hideMark/>
          </w:tcPr>
          <w:p w14:paraId="705D5E6F"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Deposito Pendientes por Identificar Banorte 7078</w:t>
            </w:r>
          </w:p>
        </w:tc>
        <w:tc>
          <w:tcPr>
            <w:tcW w:w="1984" w:type="dxa"/>
            <w:tcBorders>
              <w:top w:val="nil"/>
              <w:left w:val="nil"/>
              <w:bottom w:val="nil"/>
              <w:right w:val="nil"/>
            </w:tcBorders>
            <w:shd w:val="clear" w:color="auto" w:fill="auto"/>
            <w:noWrap/>
            <w:vAlign w:val="center"/>
            <w:hideMark/>
          </w:tcPr>
          <w:p w14:paraId="48FCC83A"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45,951.01</w:t>
            </w:r>
          </w:p>
        </w:tc>
        <w:tc>
          <w:tcPr>
            <w:tcW w:w="2410" w:type="dxa"/>
            <w:tcBorders>
              <w:top w:val="nil"/>
              <w:left w:val="nil"/>
              <w:bottom w:val="nil"/>
              <w:right w:val="nil"/>
            </w:tcBorders>
            <w:shd w:val="clear" w:color="auto" w:fill="auto"/>
            <w:noWrap/>
            <w:vAlign w:val="center"/>
            <w:hideMark/>
          </w:tcPr>
          <w:p w14:paraId="249A354F"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45,951.01</w:t>
            </w:r>
          </w:p>
        </w:tc>
      </w:tr>
      <w:tr w:rsidR="00461284" w:rsidRPr="005732FC" w14:paraId="4DA68FB8" w14:textId="77777777" w:rsidTr="0014577C">
        <w:trPr>
          <w:trHeight w:val="20"/>
        </w:trPr>
        <w:tc>
          <w:tcPr>
            <w:tcW w:w="5529" w:type="dxa"/>
            <w:tcBorders>
              <w:top w:val="nil"/>
              <w:left w:val="nil"/>
              <w:bottom w:val="nil"/>
              <w:right w:val="nil"/>
            </w:tcBorders>
            <w:shd w:val="clear" w:color="auto" w:fill="auto"/>
            <w:noWrap/>
            <w:vAlign w:val="center"/>
            <w:hideMark/>
          </w:tcPr>
          <w:p w14:paraId="3C20C751"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Deposito Pendientes por Identificar HSBC 534</w:t>
            </w:r>
          </w:p>
        </w:tc>
        <w:tc>
          <w:tcPr>
            <w:tcW w:w="1984" w:type="dxa"/>
            <w:tcBorders>
              <w:top w:val="nil"/>
              <w:left w:val="nil"/>
              <w:bottom w:val="nil"/>
              <w:right w:val="nil"/>
            </w:tcBorders>
            <w:shd w:val="clear" w:color="auto" w:fill="auto"/>
            <w:noWrap/>
            <w:vAlign w:val="center"/>
            <w:hideMark/>
          </w:tcPr>
          <w:p w14:paraId="508B48A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507,058.22</w:t>
            </w:r>
          </w:p>
        </w:tc>
        <w:tc>
          <w:tcPr>
            <w:tcW w:w="2410" w:type="dxa"/>
            <w:tcBorders>
              <w:top w:val="nil"/>
              <w:left w:val="nil"/>
              <w:bottom w:val="nil"/>
              <w:right w:val="nil"/>
            </w:tcBorders>
            <w:shd w:val="clear" w:color="auto" w:fill="auto"/>
            <w:noWrap/>
            <w:vAlign w:val="center"/>
            <w:hideMark/>
          </w:tcPr>
          <w:p w14:paraId="0A6E89BB"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533,831.22</w:t>
            </w:r>
          </w:p>
        </w:tc>
      </w:tr>
      <w:tr w:rsidR="00461284" w:rsidRPr="005732FC" w14:paraId="56E017A8" w14:textId="77777777" w:rsidTr="0014577C">
        <w:trPr>
          <w:trHeight w:val="20"/>
        </w:trPr>
        <w:tc>
          <w:tcPr>
            <w:tcW w:w="5529" w:type="dxa"/>
            <w:tcBorders>
              <w:top w:val="nil"/>
              <w:left w:val="nil"/>
              <w:bottom w:val="nil"/>
              <w:right w:val="nil"/>
            </w:tcBorders>
            <w:shd w:val="clear" w:color="auto" w:fill="auto"/>
            <w:noWrap/>
            <w:vAlign w:val="center"/>
            <w:hideMark/>
          </w:tcPr>
          <w:p w14:paraId="09E455F2"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Deposito Pendientes por Identificar HSBC 478</w:t>
            </w:r>
          </w:p>
        </w:tc>
        <w:tc>
          <w:tcPr>
            <w:tcW w:w="1984" w:type="dxa"/>
            <w:tcBorders>
              <w:top w:val="nil"/>
              <w:left w:val="nil"/>
              <w:bottom w:val="nil"/>
              <w:right w:val="nil"/>
            </w:tcBorders>
            <w:shd w:val="clear" w:color="auto" w:fill="auto"/>
            <w:noWrap/>
            <w:vAlign w:val="center"/>
            <w:hideMark/>
          </w:tcPr>
          <w:p w14:paraId="17C1DF10"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5,049.27</w:t>
            </w:r>
          </w:p>
        </w:tc>
        <w:tc>
          <w:tcPr>
            <w:tcW w:w="2410" w:type="dxa"/>
            <w:tcBorders>
              <w:top w:val="nil"/>
              <w:left w:val="nil"/>
              <w:bottom w:val="nil"/>
              <w:right w:val="nil"/>
            </w:tcBorders>
            <w:shd w:val="clear" w:color="auto" w:fill="auto"/>
            <w:noWrap/>
            <w:vAlign w:val="center"/>
            <w:hideMark/>
          </w:tcPr>
          <w:p w14:paraId="03971A7E"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5,049.27</w:t>
            </w:r>
          </w:p>
        </w:tc>
      </w:tr>
      <w:tr w:rsidR="00461284" w:rsidRPr="005732FC" w14:paraId="63BD37D5" w14:textId="77777777" w:rsidTr="0014577C">
        <w:trPr>
          <w:trHeight w:val="20"/>
        </w:trPr>
        <w:tc>
          <w:tcPr>
            <w:tcW w:w="5529" w:type="dxa"/>
            <w:tcBorders>
              <w:top w:val="nil"/>
              <w:left w:val="nil"/>
              <w:bottom w:val="nil"/>
              <w:right w:val="nil"/>
            </w:tcBorders>
            <w:shd w:val="clear" w:color="auto" w:fill="auto"/>
            <w:noWrap/>
            <w:vAlign w:val="center"/>
            <w:hideMark/>
          </w:tcPr>
          <w:p w14:paraId="6DF87799"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494</w:t>
            </w:r>
          </w:p>
        </w:tc>
        <w:tc>
          <w:tcPr>
            <w:tcW w:w="1984" w:type="dxa"/>
            <w:tcBorders>
              <w:top w:val="nil"/>
              <w:left w:val="nil"/>
              <w:bottom w:val="nil"/>
              <w:right w:val="nil"/>
            </w:tcBorders>
            <w:shd w:val="clear" w:color="auto" w:fill="auto"/>
            <w:noWrap/>
            <w:vAlign w:val="center"/>
            <w:hideMark/>
          </w:tcPr>
          <w:p w14:paraId="7011142D"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212,831.38</w:t>
            </w:r>
          </w:p>
        </w:tc>
        <w:tc>
          <w:tcPr>
            <w:tcW w:w="2410" w:type="dxa"/>
            <w:tcBorders>
              <w:top w:val="nil"/>
              <w:left w:val="nil"/>
              <w:bottom w:val="nil"/>
              <w:right w:val="nil"/>
            </w:tcBorders>
            <w:shd w:val="clear" w:color="auto" w:fill="auto"/>
            <w:noWrap/>
            <w:vAlign w:val="center"/>
            <w:hideMark/>
          </w:tcPr>
          <w:p w14:paraId="5A3FFC41"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212,831.38</w:t>
            </w:r>
          </w:p>
        </w:tc>
      </w:tr>
      <w:tr w:rsidR="00461284" w:rsidRPr="005732FC" w14:paraId="3A69A0A4" w14:textId="77777777" w:rsidTr="0014577C">
        <w:trPr>
          <w:trHeight w:val="20"/>
        </w:trPr>
        <w:tc>
          <w:tcPr>
            <w:tcW w:w="5529" w:type="dxa"/>
            <w:tcBorders>
              <w:top w:val="nil"/>
              <w:left w:val="nil"/>
              <w:bottom w:val="nil"/>
              <w:right w:val="nil"/>
            </w:tcBorders>
            <w:shd w:val="clear" w:color="auto" w:fill="auto"/>
            <w:noWrap/>
            <w:vAlign w:val="center"/>
            <w:hideMark/>
          </w:tcPr>
          <w:p w14:paraId="6D13C7A2"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8500</w:t>
            </w:r>
          </w:p>
        </w:tc>
        <w:tc>
          <w:tcPr>
            <w:tcW w:w="1984" w:type="dxa"/>
            <w:tcBorders>
              <w:top w:val="nil"/>
              <w:left w:val="nil"/>
              <w:bottom w:val="nil"/>
              <w:right w:val="nil"/>
            </w:tcBorders>
            <w:shd w:val="clear" w:color="auto" w:fill="auto"/>
            <w:noWrap/>
            <w:vAlign w:val="center"/>
            <w:hideMark/>
          </w:tcPr>
          <w:p w14:paraId="2ADE8937"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15,749.43</w:t>
            </w:r>
          </w:p>
        </w:tc>
        <w:tc>
          <w:tcPr>
            <w:tcW w:w="2410" w:type="dxa"/>
            <w:tcBorders>
              <w:top w:val="nil"/>
              <w:left w:val="nil"/>
              <w:bottom w:val="nil"/>
              <w:right w:val="nil"/>
            </w:tcBorders>
            <w:shd w:val="clear" w:color="auto" w:fill="auto"/>
            <w:noWrap/>
            <w:vAlign w:val="center"/>
            <w:hideMark/>
          </w:tcPr>
          <w:p w14:paraId="3642C418"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15,749.43</w:t>
            </w:r>
          </w:p>
        </w:tc>
      </w:tr>
      <w:tr w:rsidR="00461284" w:rsidRPr="005732FC" w14:paraId="485667C2" w14:textId="77777777" w:rsidTr="0014577C">
        <w:trPr>
          <w:trHeight w:val="20"/>
        </w:trPr>
        <w:tc>
          <w:tcPr>
            <w:tcW w:w="5529" w:type="dxa"/>
            <w:tcBorders>
              <w:top w:val="nil"/>
              <w:left w:val="nil"/>
              <w:bottom w:val="nil"/>
              <w:right w:val="nil"/>
            </w:tcBorders>
            <w:shd w:val="clear" w:color="auto" w:fill="auto"/>
            <w:noWrap/>
            <w:vAlign w:val="center"/>
            <w:hideMark/>
          </w:tcPr>
          <w:p w14:paraId="014477D8"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 por Identificar Santander 013</w:t>
            </w:r>
          </w:p>
        </w:tc>
        <w:tc>
          <w:tcPr>
            <w:tcW w:w="1984" w:type="dxa"/>
            <w:tcBorders>
              <w:top w:val="nil"/>
              <w:left w:val="nil"/>
              <w:bottom w:val="nil"/>
              <w:right w:val="nil"/>
            </w:tcBorders>
            <w:shd w:val="clear" w:color="auto" w:fill="auto"/>
            <w:noWrap/>
            <w:vAlign w:val="center"/>
            <w:hideMark/>
          </w:tcPr>
          <w:p w14:paraId="3AB638CA"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94,584.89</w:t>
            </w:r>
          </w:p>
        </w:tc>
        <w:tc>
          <w:tcPr>
            <w:tcW w:w="2410" w:type="dxa"/>
            <w:tcBorders>
              <w:top w:val="nil"/>
              <w:left w:val="nil"/>
              <w:bottom w:val="nil"/>
              <w:right w:val="nil"/>
            </w:tcBorders>
            <w:shd w:val="clear" w:color="auto" w:fill="auto"/>
            <w:noWrap/>
            <w:vAlign w:val="center"/>
            <w:hideMark/>
          </w:tcPr>
          <w:p w14:paraId="7BAD745F"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94,584.89</w:t>
            </w:r>
          </w:p>
        </w:tc>
      </w:tr>
      <w:tr w:rsidR="00461284" w:rsidRPr="005732FC" w14:paraId="7C7E49FC" w14:textId="77777777" w:rsidTr="0014577C">
        <w:trPr>
          <w:trHeight w:val="20"/>
        </w:trPr>
        <w:tc>
          <w:tcPr>
            <w:tcW w:w="5529" w:type="dxa"/>
            <w:tcBorders>
              <w:top w:val="nil"/>
              <w:left w:val="nil"/>
              <w:bottom w:val="nil"/>
              <w:right w:val="nil"/>
            </w:tcBorders>
            <w:shd w:val="clear" w:color="auto" w:fill="auto"/>
            <w:noWrap/>
            <w:vAlign w:val="center"/>
            <w:hideMark/>
          </w:tcPr>
          <w:p w14:paraId="35D75212"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Santander 030</w:t>
            </w:r>
          </w:p>
        </w:tc>
        <w:tc>
          <w:tcPr>
            <w:tcW w:w="1984" w:type="dxa"/>
            <w:tcBorders>
              <w:top w:val="nil"/>
              <w:left w:val="nil"/>
              <w:bottom w:val="nil"/>
              <w:right w:val="nil"/>
            </w:tcBorders>
            <w:shd w:val="clear" w:color="auto" w:fill="auto"/>
            <w:noWrap/>
            <w:vAlign w:val="center"/>
            <w:hideMark/>
          </w:tcPr>
          <w:p w14:paraId="20745927"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105,695.70</w:t>
            </w:r>
          </w:p>
        </w:tc>
        <w:tc>
          <w:tcPr>
            <w:tcW w:w="2410" w:type="dxa"/>
            <w:tcBorders>
              <w:top w:val="nil"/>
              <w:left w:val="nil"/>
              <w:bottom w:val="nil"/>
              <w:right w:val="nil"/>
            </w:tcBorders>
            <w:shd w:val="clear" w:color="auto" w:fill="auto"/>
            <w:noWrap/>
            <w:vAlign w:val="center"/>
            <w:hideMark/>
          </w:tcPr>
          <w:p w14:paraId="2A8CF420"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105,695.70</w:t>
            </w:r>
          </w:p>
        </w:tc>
      </w:tr>
      <w:tr w:rsidR="00461284" w:rsidRPr="005732FC" w14:paraId="42097753" w14:textId="77777777" w:rsidTr="0014577C">
        <w:trPr>
          <w:trHeight w:val="20"/>
        </w:trPr>
        <w:tc>
          <w:tcPr>
            <w:tcW w:w="5529" w:type="dxa"/>
            <w:tcBorders>
              <w:top w:val="nil"/>
              <w:left w:val="nil"/>
              <w:bottom w:val="nil"/>
              <w:right w:val="nil"/>
            </w:tcBorders>
            <w:shd w:val="clear" w:color="auto" w:fill="auto"/>
            <w:noWrap/>
            <w:vAlign w:val="center"/>
            <w:hideMark/>
          </w:tcPr>
          <w:p w14:paraId="13E94B00"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Banamex 095</w:t>
            </w:r>
          </w:p>
        </w:tc>
        <w:tc>
          <w:tcPr>
            <w:tcW w:w="1984" w:type="dxa"/>
            <w:tcBorders>
              <w:top w:val="nil"/>
              <w:left w:val="nil"/>
              <w:bottom w:val="nil"/>
              <w:right w:val="nil"/>
            </w:tcBorders>
            <w:shd w:val="clear" w:color="auto" w:fill="auto"/>
            <w:noWrap/>
            <w:vAlign w:val="center"/>
            <w:hideMark/>
          </w:tcPr>
          <w:p w14:paraId="77EEFB9D"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1,650.52</w:t>
            </w:r>
          </w:p>
        </w:tc>
        <w:tc>
          <w:tcPr>
            <w:tcW w:w="2410" w:type="dxa"/>
            <w:tcBorders>
              <w:top w:val="nil"/>
              <w:left w:val="nil"/>
              <w:bottom w:val="nil"/>
              <w:right w:val="nil"/>
            </w:tcBorders>
            <w:shd w:val="clear" w:color="auto" w:fill="auto"/>
            <w:noWrap/>
            <w:vAlign w:val="center"/>
            <w:hideMark/>
          </w:tcPr>
          <w:p w14:paraId="2637B437"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1,650.52</w:t>
            </w:r>
          </w:p>
        </w:tc>
      </w:tr>
      <w:tr w:rsidR="00461284" w:rsidRPr="005732FC" w14:paraId="60717763" w14:textId="77777777" w:rsidTr="0014577C">
        <w:trPr>
          <w:trHeight w:val="20"/>
        </w:trPr>
        <w:tc>
          <w:tcPr>
            <w:tcW w:w="5529" w:type="dxa"/>
            <w:tcBorders>
              <w:top w:val="nil"/>
              <w:left w:val="nil"/>
              <w:bottom w:val="nil"/>
              <w:right w:val="nil"/>
            </w:tcBorders>
            <w:shd w:val="clear" w:color="auto" w:fill="auto"/>
            <w:noWrap/>
            <w:vAlign w:val="center"/>
            <w:hideMark/>
          </w:tcPr>
          <w:p w14:paraId="003380BA"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Azteca 9423</w:t>
            </w:r>
          </w:p>
        </w:tc>
        <w:tc>
          <w:tcPr>
            <w:tcW w:w="1984" w:type="dxa"/>
            <w:tcBorders>
              <w:top w:val="nil"/>
              <w:left w:val="nil"/>
              <w:bottom w:val="nil"/>
              <w:right w:val="nil"/>
            </w:tcBorders>
            <w:shd w:val="clear" w:color="auto" w:fill="auto"/>
            <w:noWrap/>
            <w:vAlign w:val="center"/>
            <w:hideMark/>
          </w:tcPr>
          <w:p w14:paraId="52DDFD51"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63,821.00</w:t>
            </w:r>
          </w:p>
        </w:tc>
        <w:tc>
          <w:tcPr>
            <w:tcW w:w="2410" w:type="dxa"/>
            <w:tcBorders>
              <w:top w:val="nil"/>
              <w:left w:val="nil"/>
              <w:bottom w:val="nil"/>
              <w:right w:val="nil"/>
            </w:tcBorders>
            <w:shd w:val="clear" w:color="auto" w:fill="auto"/>
            <w:noWrap/>
            <w:vAlign w:val="center"/>
            <w:hideMark/>
          </w:tcPr>
          <w:p w14:paraId="294BEA8A"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63,821.00</w:t>
            </w:r>
          </w:p>
        </w:tc>
      </w:tr>
      <w:tr w:rsidR="00461284" w:rsidRPr="005732FC" w14:paraId="335B5E58" w14:textId="77777777" w:rsidTr="0014577C">
        <w:trPr>
          <w:trHeight w:val="20"/>
        </w:trPr>
        <w:tc>
          <w:tcPr>
            <w:tcW w:w="5529" w:type="dxa"/>
            <w:tcBorders>
              <w:top w:val="nil"/>
              <w:left w:val="nil"/>
              <w:bottom w:val="nil"/>
              <w:right w:val="nil"/>
            </w:tcBorders>
            <w:shd w:val="clear" w:color="auto" w:fill="auto"/>
            <w:noWrap/>
            <w:vAlign w:val="center"/>
            <w:hideMark/>
          </w:tcPr>
          <w:p w14:paraId="7BFE0733"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Azteca 9590</w:t>
            </w:r>
          </w:p>
        </w:tc>
        <w:tc>
          <w:tcPr>
            <w:tcW w:w="1984" w:type="dxa"/>
            <w:tcBorders>
              <w:top w:val="nil"/>
              <w:left w:val="nil"/>
              <w:bottom w:val="nil"/>
              <w:right w:val="nil"/>
            </w:tcBorders>
            <w:shd w:val="clear" w:color="auto" w:fill="auto"/>
            <w:noWrap/>
            <w:vAlign w:val="center"/>
            <w:hideMark/>
          </w:tcPr>
          <w:p w14:paraId="5B67217E"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17,006.24</w:t>
            </w:r>
          </w:p>
        </w:tc>
        <w:tc>
          <w:tcPr>
            <w:tcW w:w="2410" w:type="dxa"/>
            <w:tcBorders>
              <w:top w:val="nil"/>
              <w:left w:val="nil"/>
              <w:bottom w:val="nil"/>
              <w:right w:val="nil"/>
            </w:tcBorders>
            <w:shd w:val="clear" w:color="auto" w:fill="auto"/>
            <w:noWrap/>
            <w:vAlign w:val="center"/>
            <w:hideMark/>
          </w:tcPr>
          <w:p w14:paraId="1E7CC341"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17,006.24</w:t>
            </w:r>
          </w:p>
        </w:tc>
      </w:tr>
      <w:tr w:rsidR="00461284" w:rsidRPr="005732FC" w14:paraId="2ED54711" w14:textId="77777777" w:rsidTr="0014577C">
        <w:trPr>
          <w:trHeight w:val="20"/>
        </w:trPr>
        <w:tc>
          <w:tcPr>
            <w:tcW w:w="5529" w:type="dxa"/>
            <w:tcBorders>
              <w:top w:val="nil"/>
              <w:left w:val="nil"/>
              <w:bottom w:val="nil"/>
              <w:right w:val="nil"/>
            </w:tcBorders>
            <w:shd w:val="clear" w:color="auto" w:fill="auto"/>
            <w:noWrap/>
            <w:vAlign w:val="center"/>
            <w:hideMark/>
          </w:tcPr>
          <w:p w14:paraId="533F259E"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620</w:t>
            </w:r>
          </w:p>
        </w:tc>
        <w:tc>
          <w:tcPr>
            <w:tcW w:w="1984" w:type="dxa"/>
            <w:tcBorders>
              <w:top w:val="nil"/>
              <w:left w:val="nil"/>
              <w:bottom w:val="nil"/>
              <w:right w:val="nil"/>
            </w:tcBorders>
            <w:shd w:val="clear" w:color="auto" w:fill="auto"/>
            <w:noWrap/>
            <w:vAlign w:val="center"/>
            <w:hideMark/>
          </w:tcPr>
          <w:p w14:paraId="3892FB76"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103,933.89</w:t>
            </w:r>
          </w:p>
        </w:tc>
        <w:tc>
          <w:tcPr>
            <w:tcW w:w="2410" w:type="dxa"/>
            <w:tcBorders>
              <w:top w:val="nil"/>
              <w:left w:val="nil"/>
              <w:bottom w:val="nil"/>
              <w:right w:val="nil"/>
            </w:tcBorders>
            <w:shd w:val="clear" w:color="auto" w:fill="auto"/>
            <w:noWrap/>
            <w:vAlign w:val="center"/>
            <w:hideMark/>
          </w:tcPr>
          <w:p w14:paraId="79C5A845"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103,933.89</w:t>
            </w:r>
          </w:p>
        </w:tc>
      </w:tr>
      <w:tr w:rsidR="00461284" w:rsidRPr="005732FC" w14:paraId="5C0C1CEB" w14:textId="77777777" w:rsidTr="0014577C">
        <w:trPr>
          <w:trHeight w:val="20"/>
        </w:trPr>
        <w:tc>
          <w:tcPr>
            <w:tcW w:w="5529" w:type="dxa"/>
            <w:tcBorders>
              <w:top w:val="nil"/>
              <w:left w:val="nil"/>
              <w:bottom w:val="nil"/>
              <w:right w:val="nil"/>
            </w:tcBorders>
            <w:shd w:val="clear" w:color="auto" w:fill="auto"/>
            <w:noWrap/>
            <w:vAlign w:val="center"/>
            <w:hideMark/>
          </w:tcPr>
          <w:p w14:paraId="47143583"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638</w:t>
            </w:r>
          </w:p>
        </w:tc>
        <w:tc>
          <w:tcPr>
            <w:tcW w:w="1984" w:type="dxa"/>
            <w:tcBorders>
              <w:top w:val="nil"/>
              <w:left w:val="nil"/>
              <w:bottom w:val="nil"/>
              <w:right w:val="nil"/>
            </w:tcBorders>
            <w:shd w:val="clear" w:color="auto" w:fill="auto"/>
            <w:noWrap/>
            <w:vAlign w:val="center"/>
            <w:hideMark/>
          </w:tcPr>
          <w:p w14:paraId="6D55B05D"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145,853.05</w:t>
            </w:r>
          </w:p>
        </w:tc>
        <w:tc>
          <w:tcPr>
            <w:tcW w:w="2410" w:type="dxa"/>
            <w:tcBorders>
              <w:top w:val="nil"/>
              <w:left w:val="nil"/>
              <w:bottom w:val="nil"/>
              <w:right w:val="nil"/>
            </w:tcBorders>
            <w:shd w:val="clear" w:color="auto" w:fill="auto"/>
            <w:noWrap/>
            <w:vAlign w:val="center"/>
            <w:hideMark/>
          </w:tcPr>
          <w:p w14:paraId="0B5BCE75"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145,853.05</w:t>
            </w:r>
          </w:p>
        </w:tc>
      </w:tr>
      <w:tr w:rsidR="00461284" w:rsidRPr="005732FC" w14:paraId="2E05CD7E" w14:textId="77777777" w:rsidTr="0014577C">
        <w:trPr>
          <w:trHeight w:val="20"/>
        </w:trPr>
        <w:tc>
          <w:tcPr>
            <w:tcW w:w="5529" w:type="dxa"/>
            <w:tcBorders>
              <w:top w:val="nil"/>
              <w:left w:val="nil"/>
              <w:bottom w:val="nil"/>
              <w:right w:val="nil"/>
            </w:tcBorders>
            <w:shd w:val="clear" w:color="auto" w:fill="auto"/>
            <w:noWrap/>
            <w:vAlign w:val="center"/>
            <w:hideMark/>
          </w:tcPr>
          <w:p w14:paraId="57BE48F9"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Scotiabank 45896</w:t>
            </w:r>
          </w:p>
        </w:tc>
        <w:tc>
          <w:tcPr>
            <w:tcW w:w="1984" w:type="dxa"/>
            <w:tcBorders>
              <w:top w:val="nil"/>
              <w:left w:val="nil"/>
              <w:bottom w:val="nil"/>
              <w:right w:val="nil"/>
            </w:tcBorders>
            <w:shd w:val="clear" w:color="auto" w:fill="auto"/>
            <w:noWrap/>
            <w:vAlign w:val="center"/>
            <w:hideMark/>
          </w:tcPr>
          <w:p w14:paraId="3A025DFC"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442,769.00</w:t>
            </w:r>
          </w:p>
        </w:tc>
        <w:tc>
          <w:tcPr>
            <w:tcW w:w="2410" w:type="dxa"/>
            <w:tcBorders>
              <w:top w:val="nil"/>
              <w:left w:val="nil"/>
              <w:bottom w:val="nil"/>
              <w:right w:val="nil"/>
            </w:tcBorders>
            <w:shd w:val="clear" w:color="auto" w:fill="auto"/>
            <w:noWrap/>
            <w:vAlign w:val="center"/>
            <w:hideMark/>
          </w:tcPr>
          <w:p w14:paraId="07DC6B1C"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442,769.00</w:t>
            </w:r>
          </w:p>
        </w:tc>
      </w:tr>
      <w:tr w:rsidR="00461284" w:rsidRPr="005732FC" w14:paraId="0B0BE9C4" w14:textId="77777777" w:rsidTr="0014577C">
        <w:trPr>
          <w:trHeight w:val="20"/>
        </w:trPr>
        <w:tc>
          <w:tcPr>
            <w:tcW w:w="5529" w:type="dxa"/>
            <w:tcBorders>
              <w:top w:val="nil"/>
              <w:left w:val="nil"/>
              <w:bottom w:val="single" w:sz="8" w:space="0" w:color="auto"/>
              <w:right w:val="nil"/>
            </w:tcBorders>
            <w:shd w:val="clear" w:color="auto" w:fill="auto"/>
            <w:noWrap/>
            <w:vAlign w:val="center"/>
            <w:hideMark/>
          </w:tcPr>
          <w:p w14:paraId="2FA916B8"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Pendientes por Identificar HSBC 707</w:t>
            </w:r>
          </w:p>
        </w:tc>
        <w:tc>
          <w:tcPr>
            <w:tcW w:w="1984" w:type="dxa"/>
            <w:tcBorders>
              <w:top w:val="nil"/>
              <w:left w:val="nil"/>
              <w:bottom w:val="single" w:sz="8" w:space="0" w:color="auto"/>
              <w:right w:val="nil"/>
            </w:tcBorders>
            <w:shd w:val="clear" w:color="auto" w:fill="auto"/>
            <w:noWrap/>
            <w:vAlign w:val="center"/>
            <w:hideMark/>
          </w:tcPr>
          <w:p w14:paraId="04D95050"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422,624.51</w:t>
            </w:r>
          </w:p>
        </w:tc>
        <w:tc>
          <w:tcPr>
            <w:tcW w:w="2410" w:type="dxa"/>
            <w:tcBorders>
              <w:top w:val="nil"/>
              <w:left w:val="nil"/>
              <w:bottom w:val="single" w:sz="8" w:space="0" w:color="auto"/>
              <w:right w:val="nil"/>
            </w:tcBorders>
            <w:shd w:val="clear" w:color="auto" w:fill="auto"/>
            <w:noWrap/>
            <w:vAlign w:val="center"/>
            <w:hideMark/>
          </w:tcPr>
          <w:p w14:paraId="1FEABAC5"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422,624.51</w:t>
            </w:r>
          </w:p>
        </w:tc>
      </w:tr>
      <w:tr w:rsidR="00461284" w:rsidRPr="005732FC" w14:paraId="701F6CF7" w14:textId="77777777" w:rsidTr="0014577C">
        <w:trPr>
          <w:trHeight w:val="20"/>
        </w:trPr>
        <w:tc>
          <w:tcPr>
            <w:tcW w:w="5529" w:type="dxa"/>
            <w:tcBorders>
              <w:top w:val="nil"/>
              <w:left w:val="nil"/>
              <w:bottom w:val="single" w:sz="8" w:space="0" w:color="auto"/>
              <w:right w:val="nil"/>
            </w:tcBorders>
            <w:shd w:val="clear" w:color="000000" w:fill="D9D9D9"/>
            <w:noWrap/>
            <w:vAlign w:val="center"/>
            <w:hideMark/>
          </w:tcPr>
          <w:p w14:paraId="6313C1A4" w14:textId="77777777" w:rsidR="00461284" w:rsidRPr="005732FC" w:rsidRDefault="00461284" w:rsidP="0014577C">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Depósitos Pendientes por Identificar</w:t>
            </w:r>
          </w:p>
        </w:tc>
        <w:tc>
          <w:tcPr>
            <w:tcW w:w="1984" w:type="dxa"/>
            <w:tcBorders>
              <w:top w:val="nil"/>
              <w:left w:val="nil"/>
              <w:bottom w:val="single" w:sz="8" w:space="0" w:color="auto"/>
              <w:right w:val="nil"/>
            </w:tcBorders>
            <w:shd w:val="clear" w:color="000000" w:fill="D9D9D9"/>
            <w:noWrap/>
            <w:vAlign w:val="center"/>
            <w:hideMark/>
          </w:tcPr>
          <w:p w14:paraId="07F8AEB0"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25,673,390.79</w:t>
            </w:r>
          </w:p>
        </w:tc>
        <w:tc>
          <w:tcPr>
            <w:tcW w:w="2410" w:type="dxa"/>
            <w:tcBorders>
              <w:top w:val="nil"/>
              <w:left w:val="nil"/>
              <w:bottom w:val="single" w:sz="8" w:space="0" w:color="auto"/>
              <w:right w:val="nil"/>
            </w:tcBorders>
            <w:shd w:val="clear" w:color="000000" w:fill="D9D9D9"/>
            <w:noWrap/>
            <w:vAlign w:val="center"/>
            <w:hideMark/>
          </w:tcPr>
          <w:p w14:paraId="6A523DF2"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25,707,370.79</w:t>
            </w:r>
          </w:p>
        </w:tc>
      </w:tr>
    </w:tbl>
    <w:p w14:paraId="0E8BC9DB" w14:textId="40E6BAFE" w:rsidR="00FB2992" w:rsidRPr="005732FC" w:rsidRDefault="00FB2992" w:rsidP="00FB2992">
      <w:pPr>
        <w:spacing w:after="0"/>
        <w:jc w:val="both"/>
        <w:rPr>
          <w:rFonts w:ascii="Arial" w:hAnsi="Arial" w:cs="Arial"/>
          <w:sz w:val="20"/>
          <w:szCs w:val="20"/>
        </w:rPr>
      </w:pPr>
      <w:r w:rsidRPr="005732FC">
        <w:rPr>
          <w:rFonts w:ascii="Arial" w:hAnsi="Arial" w:cs="Arial"/>
          <w:sz w:val="20"/>
          <w:szCs w:val="20"/>
        </w:rPr>
        <w:lastRenderedPageBreak/>
        <w:tab/>
      </w:r>
    </w:p>
    <w:p w14:paraId="5F26A4E1" w14:textId="7AFF3F0E" w:rsidR="00BA3347" w:rsidRPr="005732FC" w:rsidRDefault="00BA3347" w:rsidP="00C87B49">
      <w:pPr>
        <w:pStyle w:val="Ttulo2"/>
        <w:numPr>
          <w:ilvl w:val="0"/>
          <w:numId w:val="40"/>
        </w:numPr>
        <w:ind w:left="0"/>
        <w:rPr>
          <w:rFonts w:ascii="Arial" w:hAnsi="Arial" w:cs="Arial"/>
          <w:sz w:val="20"/>
          <w:szCs w:val="20"/>
        </w:rPr>
      </w:pPr>
      <w:r w:rsidRPr="005732FC">
        <w:rPr>
          <w:rFonts w:ascii="Arial" w:hAnsi="Arial" w:cs="Arial"/>
          <w:b/>
          <w:bCs/>
          <w:color w:val="auto"/>
          <w:sz w:val="20"/>
          <w:szCs w:val="20"/>
        </w:rPr>
        <w:t>Deuda pública a largo plazo</w:t>
      </w:r>
      <w:r w:rsidRPr="005732FC">
        <w:rPr>
          <w:rFonts w:ascii="Arial" w:hAnsi="Arial" w:cs="Arial"/>
          <w:color w:val="auto"/>
          <w:sz w:val="20"/>
          <w:szCs w:val="20"/>
        </w:rPr>
        <w:t>.</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890304A"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53BE9FB" w14:textId="475CE3AF" w:rsidR="00CE483E" w:rsidRPr="005732FC" w:rsidRDefault="0099016A" w:rsidP="00CE483E">
      <w:pPr>
        <w:spacing w:after="0"/>
        <w:jc w:val="both"/>
        <w:rPr>
          <w:rFonts w:ascii="Arial" w:hAnsi="Arial" w:cs="Arial"/>
          <w:sz w:val="20"/>
          <w:szCs w:val="20"/>
        </w:rPr>
      </w:pPr>
      <w:r w:rsidRPr="005732FC">
        <w:rPr>
          <w:rFonts w:ascii="Arial" w:hAnsi="Arial" w:cs="Arial"/>
          <w:sz w:val="20"/>
          <w:szCs w:val="20"/>
        </w:rPr>
        <w:t>En esta cuenta se presentan las obligaciones a cargo del Municipio con instituciones financieras de México con vencimiento mayor a un año, consideradas no circulantes. Su integración al 30 de junio del 2025 es la siguiente:</w:t>
      </w:r>
      <w:r w:rsidR="00CE483E" w:rsidRPr="005732FC">
        <w:rPr>
          <w:rFonts w:ascii="Arial" w:hAnsi="Arial" w:cs="Arial"/>
          <w:sz w:val="20"/>
          <w:szCs w:val="20"/>
        </w:rPr>
        <w:tab/>
      </w:r>
      <w:r w:rsidR="00CE483E" w:rsidRPr="005732FC">
        <w:rPr>
          <w:rFonts w:ascii="Arial" w:hAnsi="Arial" w:cs="Arial"/>
          <w:sz w:val="20"/>
          <w:szCs w:val="20"/>
        </w:rPr>
        <w:tab/>
      </w:r>
    </w:p>
    <w:p w14:paraId="768C1DBE" w14:textId="77777777" w:rsidR="00CE483E" w:rsidRPr="005732FC" w:rsidRDefault="00CE483E" w:rsidP="00CE483E">
      <w:pPr>
        <w:spacing w:after="0"/>
        <w:jc w:val="both"/>
        <w:rPr>
          <w:rFonts w:ascii="Arial" w:hAnsi="Arial" w:cs="Arial"/>
          <w:sz w:val="20"/>
          <w:szCs w:val="20"/>
        </w:rPr>
      </w:pPr>
    </w:p>
    <w:tbl>
      <w:tblPr>
        <w:tblW w:w="9648" w:type="dxa"/>
        <w:tblLayout w:type="fixed"/>
        <w:tblCellMar>
          <w:left w:w="70" w:type="dxa"/>
          <w:right w:w="70" w:type="dxa"/>
        </w:tblCellMar>
        <w:tblLook w:val="04A0" w:firstRow="1" w:lastRow="0" w:firstColumn="1" w:lastColumn="0" w:noHBand="0" w:noVBand="1"/>
      </w:tblPr>
      <w:tblGrid>
        <w:gridCol w:w="5007"/>
        <w:gridCol w:w="146"/>
        <w:gridCol w:w="14"/>
        <w:gridCol w:w="182"/>
        <w:gridCol w:w="2031"/>
        <w:gridCol w:w="2268"/>
      </w:tblGrid>
      <w:tr w:rsidR="0099016A" w:rsidRPr="005732FC" w14:paraId="045FD948" w14:textId="77777777" w:rsidTr="008C77A6">
        <w:trPr>
          <w:trHeight w:val="20"/>
          <w:tblHeader/>
        </w:trPr>
        <w:tc>
          <w:tcPr>
            <w:tcW w:w="5349" w:type="dxa"/>
            <w:gridSpan w:val="4"/>
            <w:tcBorders>
              <w:top w:val="single" w:sz="8" w:space="0" w:color="auto"/>
              <w:left w:val="nil"/>
              <w:bottom w:val="single" w:sz="8" w:space="0" w:color="auto"/>
              <w:right w:val="nil"/>
            </w:tcBorders>
            <w:shd w:val="clear" w:color="000000" w:fill="D9D9D9"/>
            <w:noWrap/>
            <w:vAlign w:val="center"/>
            <w:hideMark/>
          </w:tcPr>
          <w:p w14:paraId="04824F66" w14:textId="77777777" w:rsidR="0099016A" w:rsidRPr="005732FC" w:rsidRDefault="0099016A"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031" w:type="dxa"/>
            <w:tcBorders>
              <w:top w:val="single" w:sz="8" w:space="0" w:color="auto"/>
              <w:left w:val="nil"/>
              <w:bottom w:val="single" w:sz="8" w:space="0" w:color="auto"/>
              <w:right w:val="nil"/>
            </w:tcBorders>
            <w:shd w:val="clear" w:color="000000" w:fill="D9D9D9"/>
            <w:vAlign w:val="center"/>
            <w:hideMark/>
          </w:tcPr>
          <w:p w14:paraId="162CADBC" w14:textId="77777777" w:rsidR="0099016A" w:rsidRPr="005732FC" w:rsidRDefault="0099016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4B11C92E" w14:textId="77777777" w:rsidR="0099016A" w:rsidRPr="005732FC" w:rsidRDefault="0099016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99016A" w:rsidRPr="005732FC" w14:paraId="4D1EAE03" w14:textId="77777777" w:rsidTr="008C77A6">
        <w:trPr>
          <w:trHeight w:val="20"/>
        </w:trPr>
        <w:tc>
          <w:tcPr>
            <w:tcW w:w="5007" w:type="dxa"/>
            <w:tcBorders>
              <w:top w:val="nil"/>
              <w:left w:val="nil"/>
              <w:bottom w:val="nil"/>
              <w:right w:val="nil"/>
            </w:tcBorders>
            <w:shd w:val="clear" w:color="auto" w:fill="auto"/>
            <w:noWrap/>
            <w:vAlign w:val="center"/>
            <w:hideMark/>
          </w:tcPr>
          <w:p w14:paraId="6C1F6463" w14:textId="77777777" w:rsidR="0099016A" w:rsidRPr="005732FC" w:rsidRDefault="0099016A"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Banco BBVA Bancomer crédito 9884444367</w:t>
            </w:r>
          </w:p>
        </w:tc>
        <w:tc>
          <w:tcPr>
            <w:tcW w:w="160" w:type="dxa"/>
            <w:gridSpan w:val="2"/>
            <w:tcBorders>
              <w:top w:val="nil"/>
              <w:left w:val="nil"/>
              <w:bottom w:val="nil"/>
              <w:right w:val="nil"/>
            </w:tcBorders>
            <w:shd w:val="clear" w:color="auto" w:fill="auto"/>
            <w:noWrap/>
            <w:vAlign w:val="center"/>
            <w:hideMark/>
          </w:tcPr>
          <w:p w14:paraId="0B5B23E0" w14:textId="77777777" w:rsidR="0099016A" w:rsidRPr="005732FC" w:rsidRDefault="0099016A" w:rsidP="008C77A6">
            <w:pPr>
              <w:spacing w:after="0" w:line="240" w:lineRule="auto"/>
              <w:rPr>
                <w:rFonts w:ascii="Arial" w:eastAsia="Times New Roman" w:hAnsi="Arial" w:cs="Arial"/>
                <w:color w:val="000000"/>
                <w:kern w:val="0"/>
                <w:sz w:val="20"/>
                <w:szCs w:val="20"/>
                <w:lang w:eastAsia="es-MX"/>
                <w14:ligatures w14:val="none"/>
              </w:rPr>
            </w:pPr>
          </w:p>
        </w:tc>
        <w:tc>
          <w:tcPr>
            <w:tcW w:w="182" w:type="dxa"/>
            <w:tcBorders>
              <w:top w:val="nil"/>
              <w:left w:val="nil"/>
              <w:bottom w:val="nil"/>
              <w:right w:val="nil"/>
            </w:tcBorders>
            <w:shd w:val="clear" w:color="auto" w:fill="auto"/>
            <w:noWrap/>
            <w:vAlign w:val="center"/>
            <w:hideMark/>
          </w:tcPr>
          <w:p w14:paraId="427C103B" w14:textId="77777777" w:rsidR="0099016A" w:rsidRPr="005732FC" w:rsidRDefault="0099016A" w:rsidP="008C77A6">
            <w:pPr>
              <w:spacing w:after="0" w:line="240" w:lineRule="auto"/>
              <w:rPr>
                <w:rFonts w:ascii="Times New Roman" w:eastAsia="Times New Roman" w:hAnsi="Times New Roman" w:cs="Times New Roman"/>
                <w:kern w:val="0"/>
                <w:sz w:val="20"/>
                <w:szCs w:val="20"/>
                <w:lang w:eastAsia="es-MX"/>
                <w14:ligatures w14:val="none"/>
              </w:rPr>
            </w:pPr>
          </w:p>
        </w:tc>
        <w:tc>
          <w:tcPr>
            <w:tcW w:w="2031" w:type="dxa"/>
            <w:tcBorders>
              <w:top w:val="nil"/>
              <w:left w:val="nil"/>
              <w:bottom w:val="nil"/>
              <w:right w:val="nil"/>
            </w:tcBorders>
            <w:shd w:val="clear" w:color="auto" w:fill="auto"/>
            <w:noWrap/>
            <w:vAlign w:val="center"/>
            <w:hideMark/>
          </w:tcPr>
          <w:p w14:paraId="2C8788B1" w14:textId="77777777" w:rsidR="0099016A" w:rsidRPr="005732FC" w:rsidRDefault="0099016A"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417,961,555.40 </w:t>
            </w:r>
          </w:p>
        </w:tc>
        <w:tc>
          <w:tcPr>
            <w:tcW w:w="2268" w:type="dxa"/>
            <w:tcBorders>
              <w:top w:val="nil"/>
              <w:left w:val="nil"/>
              <w:bottom w:val="nil"/>
              <w:right w:val="nil"/>
            </w:tcBorders>
            <w:shd w:val="clear" w:color="auto" w:fill="auto"/>
            <w:noWrap/>
            <w:vAlign w:val="center"/>
            <w:hideMark/>
          </w:tcPr>
          <w:p w14:paraId="6693BF4C" w14:textId="77777777" w:rsidR="0099016A" w:rsidRPr="005732FC" w:rsidRDefault="0099016A"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437,735,969.27 </w:t>
            </w:r>
          </w:p>
        </w:tc>
      </w:tr>
      <w:tr w:rsidR="0099016A" w:rsidRPr="005732FC" w14:paraId="32052168" w14:textId="77777777" w:rsidTr="008C77A6">
        <w:trPr>
          <w:trHeight w:val="20"/>
        </w:trPr>
        <w:tc>
          <w:tcPr>
            <w:tcW w:w="5153" w:type="dxa"/>
            <w:gridSpan w:val="2"/>
            <w:tcBorders>
              <w:top w:val="nil"/>
              <w:left w:val="nil"/>
              <w:bottom w:val="single" w:sz="8" w:space="0" w:color="auto"/>
              <w:right w:val="nil"/>
            </w:tcBorders>
            <w:shd w:val="clear" w:color="auto" w:fill="auto"/>
            <w:noWrap/>
            <w:vAlign w:val="center"/>
            <w:hideMark/>
          </w:tcPr>
          <w:p w14:paraId="2D06760B" w14:textId="77777777" w:rsidR="0099016A" w:rsidRPr="005732FC" w:rsidRDefault="0099016A"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Banco Azteca crédito 960500528</w:t>
            </w:r>
          </w:p>
        </w:tc>
        <w:tc>
          <w:tcPr>
            <w:tcW w:w="196" w:type="dxa"/>
            <w:gridSpan w:val="2"/>
            <w:tcBorders>
              <w:top w:val="nil"/>
              <w:left w:val="nil"/>
              <w:bottom w:val="single" w:sz="8" w:space="0" w:color="auto"/>
              <w:right w:val="nil"/>
            </w:tcBorders>
            <w:shd w:val="clear" w:color="auto" w:fill="auto"/>
            <w:noWrap/>
            <w:vAlign w:val="center"/>
            <w:hideMark/>
          </w:tcPr>
          <w:p w14:paraId="6BEB4C60" w14:textId="77777777" w:rsidR="0099016A" w:rsidRPr="005732FC" w:rsidRDefault="0099016A"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w:t>
            </w:r>
          </w:p>
        </w:tc>
        <w:tc>
          <w:tcPr>
            <w:tcW w:w="2031" w:type="dxa"/>
            <w:tcBorders>
              <w:top w:val="nil"/>
              <w:left w:val="nil"/>
              <w:bottom w:val="single" w:sz="8" w:space="0" w:color="auto"/>
              <w:right w:val="nil"/>
            </w:tcBorders>
            <w:shd w:val="clear" w:color="auto" w:fill="auto"/>
            <w:noWrap/>
            <w:vAlign w:val="center"/>
            <w:hideMark/>
          </w:tcPr>
          <w:p w14:paraId="3CDDEA8C" w14:textId="77777777" w:rsidR="0099016A" w:rsidRPr="005732FC" w:rsidRDefault="0099016A"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378,588,344.37 </w:t>
            </w:r>
          </w:p>
        </w:tc>
        <w:tc>
          <w:tcPr>
            <w:tcW w:w="2268" w:type="dxa"/>
            <w:tcBorders>
              <w:top w:val="nil"/>
              <w:left w:val="nil"/>
              <w:bottom w:val="single" w:sz="8" w:space="0" w:color="auto"/>
              <w:right w:val="nil"/>
            </w:tcBorders>
            <w:shd w:val="clear" w:color="auto" w:fill="auto"/>
            <w:noWrap/>
            <w:vAlign w:val="center"/>
            <w:hideMark/>
          </w:tcPr>
          <w:p w14:paraId="287BD773" w14:textId="77777777" w:rsidR="0099016A" w:rsidRPr="005732FC" w:rsidRDefault="0099016A"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397,630,949.00 </w:t>
            </w:r>
          </w:p>
        </w:tc>
      </w:tr>
      <w:tr w:rsidR="0099016A" w:rsidRPr="005732FC" w14:paraId="7E55C9C8" w14:textId="77777777" w:rsidTr="008C77A6">
        <w:trPr>
          <w:trHeight w:val="20"/>
        </w:trPr>
        <w:tc>
          <w:tcPr>
            <w:tcW w:w="5349" w:type="dxa"/>
            <w:gridSpan w:val="4"/>
            <w:tcBorders>
              <w:top w:val="single" w:sz="8" w:space="0" w:color="auto"/>
              <w:left w:val="nil"/>
              <w:bottom w:val="single" w:sz="4" w:space="0" w:color="auto"/>
              <w:right w:val="nil"/>
            </w:tcBorders>
            <w:shd w:val="clear" w:color="000000" w:fill="D9D9D9"/>
            <w:noWrap/>
            <w:vAlign w:val="center"/>
            <w:hideMark/>
          </w:tcPr>
          <w:p w14:paraId="09DF6954" w14:textId="77777777" w:rsidR="0099016A" w:rsidRPr="005732FC" w:rsidRDefault="0099016A" w:rsidP="008C77A6">
            <w:pPr>
              <w:spacing w:after="0" w:line="240" w:lineRule="auto"/>
              <w:rPr>
                <w:rFonts w:ascii="Arial" w:eastAsia="Times New Roman" w:hAnsi="Arial" w:cs="Arial"/>
                <w:b/>
                <w:bCs/>
                <w:color w:val="000000"/>
                <w:kern w:val="0"/>
                <w:sz w:val="20"/>
                <w:szCs w:val="20"/>
                <w:lang w:eastAsia="es-MX"/>
                <w14:ligatures w14:val="none"/>
              </w:rPr>
            </w:pPr>
            <w:proofErr w:type="gramStart"/>
            <w:r w:rsidRPr="005732FC">
              <w:rPr>
                <w:rFonts w:ascii="Arial" w:eastAsia="Times New Roman" w:hAnsi="Arial" w:cs="Arial"/>
                <w:b/>
                <w:bCs/>
                <w:color w:val="000000"/>
                <w:kern w:val="0"/>
                <w:sz w:val="20"/>
                <w:szCs w:val="20"/>
                <w:lang w:eastAsia="es-MX"/>
                <w14:ligatures w14:val="none"/>
              </w:rPr>
              <w:t>Total</w:t>
            </w:r>
            <w:proofErr w:type="gramEnd"/>
            <w:r w:rsidRPr="005732FC">
              <w:rPr>
                <w:rFonts w:ascii="Arial" w:eastAsia="Times New Roman" w:hAnsi="Arial" w:cs="Arial"/>
                <w:b/>
                <w:bCs/>
                <w:color w:val="000000"/>
                <w:kern w:val="0"/>
                <w:sz w:val="20"/>
                <w:szCs w:val="20"/>
                <w:lang w:eastAsia="es-MX"/>
                <w14:ligatures w14:val="none"/>
              </w:rPr>
              <w:t xml:space="preserve"> de la Deuda Pública a Largo Plazo </w:t>
            </w:r>
          </w:p>
        </w:tc>
        <w:tc>
          <w:tcPr>
            <w:tcW w:w="2031" w:type="dxa"/>
            <w:tcBorders>
              <w:top w:val="nil"/>
              <w:left w:val="nil"/>
              <w:bottom w:val="single" w:sz="4" w:space="0" w:color="auto"/>
              <w:right w:val="nil"/>
            </w:tcBorders>
            <w:shd w:val="clear" w:color="000000" w:fill="D9D9D9"/>
            <w:noWrap/>
            <w:vAlign w:val="center"/>
            <w:hideMark/>
          </w:tcPr>
          <w:p w14:paraId="5AD8671F" w14:textId="77777777" w:rsidR="0099016A" w:rsidRPr="005732FC" w:rsidRDefault="0099016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796,549,899.77 </w:t>
            </w:r>
          </w:p>
        </w:tc>
        <w:tc>
          <w:tcPr>
            <w:tcW w:w="2268" w:type="dxa"/>
            <w:tcBorders>
              <w:top w:val="nil"/>
              <w:left w:val="nil"/>
              <w:bottom w:val="single" w:sz="4" w:space="0" w:color="auto"/>
              <w:right w:val="nil"/>
            </w:tcBorders>
            <w:shd w:val="clear" w:color="000000" w:fill="D9D9D9"/>
            <w:noWrap/>
            <w:vAlign w:val="center"/>
            <w:hideMark/>
          </w:tcPr>
          <w:p w14:paraId="3AF90586" w14:textId="77777777" w:rsidR="0099016A" w:rsidRPr="005732FC" w:rsidRDefault="0099016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835,366,918.27 </w:t>
            </w:r>
          </w:p>
        </w:tc>
      </w:tr>
    </w:tbl>
    <w:p w14:paraId="6FFC8980" w14:textId="77777777" w:rsidR="002A0ECD" w:rsidRPr="005732FC" w:rsidRDefault="002A0ECD" w:rsidP="002A0ECD">
      <w:pPr>
        <w:spacing w:after="0"/>
        <w:jc w:val="both"/>
        <w:rPr>
          <w:rFonts w:ascii="Arial" w:hAnsi="Arial" w:cs="Arial"/>
          <w:sz w:val="20"/>
          <w:szCs w:val="20"/>
        </w:rPr>
      </w:pPr>
    </w:p>
    <w:p w14:paraId="20387A42" w14:textId="77777777" w:rsidR="00CE483E" w:rsidRPr="005732FC" w:rsidRDefault="002A0ECD" w:rsidP="00CE483E">
      <w:pPr>
        <w:pStyle w:val="Ttulo3"/>
        <w:ind w:hanging="426"/>
        <w:jc w:val="both"/>
        <w:rPr>
          <w:rFonts w:ascii="Arial" w:hAnsi="Arial" w:cs="Arial"/>
          <w:sz w:val="20"/>
          <w:szCs w:val="20"/>
        </w:rPr>
      </w:pPr>
      <w:r w:rsidRPr="005732FC">
        <w:rPr>
          <w:rFonts w:ascii="Arial" w:hAnsi="Arial" w:cs="Arial"/>
          <w:color w:val="auto"/>
          <w:sz w:val="20"/>
          <w:szCs w:val="20"/>
        </w:rPr>
        <w:t>18.1</w:t>
      </w:r>
      <w:r w:rsidRPr="005732FC">
        <w:rPr>
          <w:rFonts w:ascii="Arial" w:hAnsi="Arial" w:cs="Arial"/>
          <w:color w:val="auto"/>
          <w:sz w:val="20"/>
          <w:szCs w:val="20"/>
        </w:rPr>
        <w:tab/>
      </w:r>
      <w:bookmarkStart w:id="13" w:name="_Hlk186464476"/>
      <w:bookmarkStart w:id="14" w:name="_Hlk175668347"/>
      <w:bookmarkStart w:id="15" w:name="_Hlk202786924"/>
      <w:bookmarkStart w:id="16" w:name="_Hlk202786916"/>
      <w:r w:rsidR="00CE483E" w:rsidRPr="005732FC">
        <w:rPr>
          <w:rFonts w:ascii="Arial" w:hAnsi="Arial" w:cs="Arial"/>
          <w:color w:val="auto"/>
          <w:sz w:val="20"/>
          <w:szCs w:val="20"/>
        </w:rPr>
        <w:t>Principales antecedentes y condiciones contractuales del crédito simple celebrado con Banco BBVA Bancomer, S. A. crédito 9884444367.</w:t>
      </w:r>
      <w:r w:rsidR="00CE483E" w:rsidRPr="005732FC">
        <w:rPr>
          <w:rFonts w:ascii="Arial" w:hAnsi="Arial" w:cs="Arial"/>
          <w:color w:val="auto"/>
          <w:sz w:val="20"/>
          <w:szCs w:val="20"/>
        </w:rPr>
        <w:tab/>
      </w:r>
      <w:r w:rsidR="00CE483E" w:rsidRPr="005732FC">
        <w:rPr>
          <w:rFonts w:ascii="Arial" w:hAnsi="Arial" w:cs="Arial"/>
          <w:sz w:val="20"/>
          <w:szCs w:val="20"/>
        </w:rPr>
        <w:tab/>
      </w:r>
      <w:r w:rsidR="00CE483E" w:rsidRPr="005732FC">
        <w:rPr>
          <w:rFonts w:ascii="Arial" w:hAnsi="Arial" w:cs="Arial"/>
          <w:sz w:val="20"/>
          <w:szCs w:val="20"/>
        </w:rPr>
        <w:tab/>
      </w:r>
      <w:r w:rsidR="00CE483E" w:rsidRPr="005732FC">
        <w:rPr>
          <w:rFonts w:ascii="Arial" w:hAnsi="Arial" w:cs="Arial"/>
          <w:sz w:val="20"/>
          <w:szCs w:val="20"/>
        </w:rPr>
        <w:tab/>
      </w:r>
      <w:r w:rsidR="00CE483E" w:rsidRPr="005732FC">
        <w:rPr>
          <w:rFonts w:ascii="Arial" w:hAnsi="Arial" w:cs="Arial"/>
          <w:sz w:val="20"/>
          <w:szCs w:val="20"/>
        </w:rPr>
        <w:tab/>
      </w:r>
      <w:r w:rsidR="00CE483E" w:rsidRPr="005732FC">
        <w:rPr>
          <w:rFonts w:ascii="Arial" w:hAnsi="Arial" w:cs="Arial"/>
          <w:sz w:val="20"/>
          <w:szCs w:val="20"/>
        </w:rPr>
        <w:tab/>
      </w:r>
      <w:r w:rsidR="00CE483E" w:rsidRPr="005732FC">
        <w:rPr>
          <w:rFonts w:ascii="Arial" w:hAnsi="Arial" w:cs="Arial"/>
          <w:sz w:val="20"/>
          <w:szCs w:val="20"/>
        </w:rPr>
        <w:tab/>
      </w:r>
      <w:r w:rsidR="00CE483E" w:rsidRPr="005732FC">
        <w:rPr>
          <w:rFonts w:ascii="Arial" w:hAnsi="Arial" w:cs="Arial"/>
          <w:sz w:val="20"/>
          <w:szCs w:val="20"/>
        </w:rPr>
        <w:tab/>
      </w:r>
    </w:p>
    <w:p w14:paraId="31B70913" w14:textId="77777777" w:rsidR="00CE483E" w:rsidRPr="005732FC" w:rsidRDefault="00CE483E" w:rsidP="00CE483E">
      <w:pPr>
        <w:spacing w:after="0"/>
        <w:jc w:val="both"/>
        <w:rPr>
          <w:rFonts w:ascii="Arial" w:hAnsi="Arial" w:cs="Arial"/>
          <w:sz w:val="20"/>
          <w:szCs w:val="20"/>
        </w:rPr>
      </w:pPr>
    </w:p>
    <w:bookmarkEnd w:id="13"/>
    <w:p w14:paraId="2F7795B2"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Antecedentes: Derivado del refinanciamiento de la Deuda Pública, el Municipio de Benito Juárez celebró un Contrato de Crédito Simple, mismo que se formalizó al amparo del Decreto número 285 expedido por la H. XV Legislatura del Estado Libre y Soberano de Quintana Roo, publicado en el Periódico Oficial del Estado de Quintana Roo el día 17 de enero de 2019.</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9B69765"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Fecha de contratación: El 15 de octubre de 2019.</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CDACD58"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Tipo de Financiamiento: Contrato de Apertura de Crédito Simple.</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1045FAB"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Acreditado: El Municipio de Benito Juárez, Estado de Quintana Roo.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FD6ED86"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 xml:space="preserve">Acreedor: BBVA BANCOMER, S.A., Institución de Banca Múltiple, Grupo Financiero BBVA BANCOMER.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36315AE"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Monto: Hasta por la cantidad de $500,000,000.00 (son: Quinientos Millones de pesos, 00/100 Moneda Nacional).</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B43928C"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 xml:space="preserve">Destino: </w:t>
      </w:r>
    </w:p>
    <w:p w14:paraId="0A59D2A3"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 xml:space="preserve">a) Refinanciamiento parcial del Contrato de Crédito Simple “B” TRAMO I (9353) celebrado con BANOBRAS en fecha 16 de diciembre de 2010 entre el Municipio de Benito Juárez, Quintana Roo y el Banco Nacional de Obras y Servicios Públicos, S.N.C. y;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2F27F86"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 xml:space="preserve">b) Para el pago de gastos y costos asociados al financiamiento, sin rebasar el 2.5% del monto contratado y en su caso para la constitución del Fondo de Reserva.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C12F606"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Fecha de vencimiento: Precisamente el día 25 de diciembre de 2034.</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E74FC74"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Fuente de Pago: El 31.73% del Fondo General de Participaciones que en ingresos Federales le corresponden al Municipio de Benito Juárez, Estado de Quintana Roo.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905B16E"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Autorización de la Legislatura Local: Decreto número 285 expedido por la H. XV Legislatura del Estado Libre y Soberano de Quintana Roo, publicado en el Periódico Oficial del Estado de Quintana Roo el día 17 de enero de 2019.</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A7480C8"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Mecanismo de Pago: El Contrato de Fideicomiso de Administración y Fuente de Pago número F4109047, celebrado entre el Municipio de Benito Juárez, Estado de Quintana Roo, en calidad de Fideicomitente y, por otra parte, BBVA BANCOMER, S.A., Institución de Banca Múltiple, Grupo Financiero BBVA BANCOMER, en su carácter de Fiduciario.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27D5EDC"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Monto y Fecha de Disposición: $498,462,835.00 (son: Cuatrocientos noventa y ocho millones cuatrocientos sesenta y dos mil ochocientos treinta y cinco pesos 00/100 M. N.) depositados el día 28 de abril de 2020.</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EACEE78"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El plazo será pagadero hasta por 180 meses, mediante pagos mensuales crecientes, predeterminados y consecutivos de capital, más intereses sobre saldos insolutos.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B45558D" w14:textId="77777777" w:rsidR="0099016A" w:rsidRPr="005732FC" w:rsidRDefault="0099016A" w:rsidP="0099016A">
      <w:pPr>
        <w:spacing w:after="0"/>
        <w:jc w:val="both"/>
        <w:rPr>
          <w:rFonts w:ascii="Arial" w:hAnsi="Arial" w:cs="Arial"/>
          <w:sz w:val="20"/>
          <w:szCs w:val="20"/>
        </w:rPr>
      </w:pPr>
    </w:p>
    <w:p w14:paraId="7DEFC189"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lastRenderedPageBreak/>
        <w:t xml:space="preserve">El pago de capital, así como los intereses, que se generen durante el plazo del crédito se deberán cubrir por el Acreditado con recursos ajenos al Crédito, teniendo como garantía de pago el 31.73% del Fondo General de Participaciones que en ingresos Federales le corresponden al Municipio de Benito Juárez, Estado de Quintana Roo.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1E09143"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 xml:space="preserve">El plazo máximo del crédito será hasta 180 meses a partir de la fecha en que el acreditado ejerza la primera disposición del crédito. </w:t>
      </w:r>
    </w:p>
    <w:p w14:paraId="4F31B824" w14:textId="77777777" w:rsidR="0099016A" w:rsidRPr="005732FC" w:rsidRDefault="0099016A" w:rsidP="0099016A">
      <w:pPr>
        <w:spacing w:after="0"/>
        <w:jc w:val="both"/>
        <w:rPr>
          <w:rFonts w:ascii="Arial" w:hAnsi="Arial" w:cs="Arial"/>
          <w:sz w:val="20"/>
          <w:szCs w:val="20"/>
        </w:rPr>
      </w:pPr>
    </w:p>
    <w:p w14:paraId="41722035"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El acreditado deberá constituir, mantener y, en su caso, reconstituir un fondo de reserva para el pago de interés y capital, que deberán equivaler, en todo momento durante la vigencia del crédito, a cuando menos el importe de dos veces el servicio mensual de la deuda derivada del crédito.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24A7701"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DC454D5" w14:textId="77777777" w:rsidR="0099016A" w:rsidRPr="005732FC" w:rsidRDefault="0099016A" w:rsidP="0099016A">
      <w:pPr>
        <w:keepNext/>
        <w:keepLines/>
        <w:spacing w:before="40" w:after="0"/>
        <w:ind w:hanging="426"/>
        <w:outlineLvl w:val="2"/>
        <w:rPr>
          <w:rFonts w:ascii="Arial" w:eastAsiaTheme="majorEastAsia" w:hAnsi="Arial" w:cs="Arial"/>
          <w:color w:val="1F3763" w:themeColor="accent1" w:themeShade="7F"/>
          <w:sz w:val="20"/>
          <w:szCs w:val="20"/>
        </w:rPr>
      </w:pPr>
      <w:r w:rsidRPr="005732FC">
        <w:rPr>
          <w:rFonts w:ascii="Arial" w:eastAsiaTheme="majorEastAsia" w:hAnsi="Arial" w:cs="Arial"/>
          <w:sz w:val="20"/>
          <w:szCs w:val="20"/>
        </w:rPr>
        <w:t>18.2</w:t>
      </w:r>
      <w:r w:rsidRPr="005732FC">
        <w:rPr>
          <w:rFonts w:ascii="Arial" w:eastAsiaTheme="majorEastAsia" w:hAnsi="Arial" w:cs="Arial"/>
          <w:sz w:val="20"/>
          <w:szCs w:val="20"/>
        </w:rPr>
        <w:tab/>
        <w:t>Principales antecedentes y condiciones contractuales del crédito simple celebrado con Banco Azteca, S. A. crédito 960500528.</w:t>
      </w:r>
      <w:r w:rsidRPr="005732FC">
        <w:rPr>
          <w:rFonts w:ascii="Arial" w:eastAsiaTheme="majorEastAsia" w:hAnsi="Arial" w:cs="Arial"/>
          <w:color w:val="1F3763" w:themeColor="accent1" w:themeShade="7F"/>
          <w:sz w:val="20"/>
          <w:szCs w:val="20"/>
        </w:rPr>
        <w:tab/>
      </w:r>
      <w:r w:rsidRPr="005732FC">
        <w:rPr>
          <w:rFonts w:ascii="Arial" w:eastAsiaTheme="majorEastAsia" w:hAnsi="Arial" w:cs="Arial"/>
          <w:color w:val="1F3763" w:themeColor="accent1" w:themeShade="7F"/>
          <w:sz w:val="20"/>
          <w:szCs w:val="20"/>
        </w:rPr>
        <w:tab/>
      </w:r>
      <w:r w:rsidRPr="005732FC">
        <w:rPr>
          <w:rFonts w:ascii="Arial" w:eastAsiaTheme="majorEastAsia" w:hAnsi="Arial" w:cs="Arial"/>
          <w:color w:val="1F3763" w:themeColor="accent1" w:themeShade="7F"/>
          <w:sz w:val="20"/>
          <w:szCs w:val="20"/>
        </w:rPr>
        <w:tab/>
      </w:r>
      <w:r w:rsidRPr="005732FC">
        <w:rPr>
          <w:rFonts w:ascii="Arial" w:eastAsiaTheme="majorEastAsia" w:hAnsi="Arial" w:cs="Arial"/>
          <w:color w:val="1F3763" w:themeColor="accent1" w:themeShade="7F"/>
          <w:sz w:val="20"/>
          <w:szCs w:val="20"/>
        </w:rPr>
        <w:tab/>
      </w:r>
      <w:r w:rsidRPr="005732FC">
        <w:rPr>
          <w:rFonts w:ascii="Arial" w:eastAsiaTheme="majorEastAsia" w:hAnsi="Arial" w:cs="Arial"/>
          <w:color w:val="1F3763" w:themeColor="accent1" w:themeShade="7F"/>
          <w:sz w:val="20"/>
          <w:szCs w:val="20"/>
        </w:rPr>
        <w:tab/>
      </w:r>
      <w:r w:rsidRPr="005732FC">
        <w:rPr>
          <w:rFonts w:ascii="Arial" w:eastAsiaTheme="majorEastAsia" w:hAnsi="Arial" w:cs="Arial"/>
          <w:color w:val="1F3763" w:themeColor="accent1" w:themeShade="7F"/>
          <w:sz w:val="20"/>
          <w:szCs w:val="20"/>
        </w:rPr>
        <w:tab/>
      </w:r>
      <w:r w:rsidRPr="005732FC">
        <w:rPr>
          <w:rFonts w:ascii="Arial" w:eastAsiaTheme="majorEastAsia" w:hAnsi="Arial" w:cs="Arial"/>
          <w:color w:val="1F3763" w:themeColor="accent1" w:themeShade="7F"/>
          <w:sz w:val="20"/>
          <w:szCs w:val="20"/>
        </w:rPr>
        <w:tab/>
      </w:r>
      <w:r w:rsidRPr="005732FC">
        <w:rPr>
          <w:rFonts w:ascii="Arial" w:eastAsiaTheme="majorEastAsia" w:hAnsi="Arial" w:cs="Arial"/>
          <w:color w:val="1F3763" w:themeColor="accent1" w:themeShade="7F"/>
          <w:sz w:val="20"/>
          <w:szCs w:val="20"/>
        </w:rPr>
        <w:tab/>
      </w:r>
    </w:p>
    <w:p w14:paraId="3FF71F55"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679E350"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Antecedentes: Derivado del refinanciamiento de la Deuda Pública, el Municipio de Benito Juárez celebró un Contrato de Crédito Simple, mismo que se formalizó al amparo del Decreto número 285 expedido por la H. XV Legislatura del Estado Libre y Soberano de Quintana Roo, publicado en el Periódico Oficial del Estado de Quintana Roo el día 17 de enero de 2019.</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D1228F7"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Fecha de contratación: 15 de octubre de 2019.</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CBA485A" w14:textId="77777777" w:rsidR="0099016A" w:rsidRPr="005732FC" w:rsidRDefault="0099016A" w:rsidP="0099016A">
      <w:pPr>
        <w:spacing w:after="0"/>
        <w:jc w:val="both"/>
        <w:rPr>
          <w:rFonts w:ascii="Arial" w:hAnsi="Arial" w:cs="Arial"/>
          <w:sz w:val="20"/>
          <w:szCs w:val="20"/>
        </w:rPr>
      </w:pPr>
    </w:p>
    <w:p w14:paraId="61765625"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Tipo de Financiamiento: Contrato de Apertura de Crédito Simple.</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3D3C527"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Acreditado: El Municipio de Benito Juárez, Estado de Quintana Roo.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E3F1860"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Acreedor: Banco Azteca, Sociedad Anónima, Institución de Banca Múltiple.</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596DEFD"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Monto: Hasta por la cantidad de $500’000,000.00 (son: Quinientos Millones de pesos, 00/100 Moneda Nacional).</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7F547A8"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 xml:space="preserve">Destino: </w:t>
      </w:r>
    </w:p>
    <w:p w14:paraId="77CAD743"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 xml:space="preserve">a) Refinanciamiento para el finiquito del Contrato de Crédito Simple “B” TRAMOS I y II (9347 y 9353) celebrado con BANOBRAS en fecha 16 de diciembre de 2010 entre el Municipio de Benito Juárez, Quintana Roo y el Banco Nacional de Obras y Servicios Públicos, S.N.C. y;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BB1205F"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 xml:space="preserve">b) Refinanciamiento parcial del Contrato de Crédito Simple (9354) celebrados con BANOBRAS en fecha 16 de diciembre de 2010 entre el Municipio de Benito Juárez, Quintana Roo y el Banco Nacional de Obras y Servicios Públicos, S.N.C. </w:t>
      </w:r>
      <w:proofErr w:type="spellStart"/>
      <w:proofErr w:type="gramStart"/>
      <w:r w:rsidRPr="005732FC">
        <w:rPr>
          <w:rFonts w:ascii="Arial" w:hAnsi="Arial" w:cs="Arial"/>
          <w:sz w:val="20"/>
          <w:szCs w:val="20"/>
        </w:rPr>
        <w:t>y;c</w:t>
      </w:r>
      <w:proofErr w:type="spellEnd"/>
      <w:proofErr w:type="gramEnd"/>
      <w:r w:rsidRPr="005732FC">
        <w:rPr>
          <w:rFonts w:ascii="Arial" w:hAnsi="Arial" w:cs="Arial"/>
          <w:sz w:val="20"/>
          <w:szCs w:val="20"/>
        </w:rPr>
        <w:t xml:space="preserve">) Para el pago de gastos y costos asociados al financiamiento, sin rebasar el 2.5% del monto contratado y en su caso para la constitución del Fondo de Reserva.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533C03F" w14:textId="77777777" w:rsidR="0099016A" w:rsidRPr="005732FC" w:rsidRDefault="0099016A" w:rsidP="0099016A">
      <w:pPr>
        <w:spacing w:after="0"/>
        <w:jc w:val="both"/>
        <w:rPr>
          <w:rFonts w:ascii="Arial" w:hAnsi="Arial" w:cs="Arial"/>
          <w:sz w:val="20"/>
          <w:szCs w:val="20"/>
        </w:rPr>
      </w:pPr>
    </w:p>
    <w:p w14:paraId="7D62DB4B"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Fecha de vencimiento: Precisamente el día 25 de diciembre de 2034.</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483C51B"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Fuente de Pago: El 31.73% del Fondo General de Participaciones que en ingresos Federales le corresponden al Municipio de Benito Juárez, Estado de Quintana Roo.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E2D7632" w14:textId="77777777" w:rsidR="0099016A" w:rsidRPr="005732FC" w:rsidRDefault="0099016A" w:rsidP="0099016A">
      <w:pPr>
        <w:spacing w:after="0"/>
        <w:jc w:val="both"/>
        <w:rPr>
          <w:rFonts w:ascii="Arial" w:hAnsi="Arial" w:cs="Arial"/>
          <w:sz w:val="20"/>
          <w:szCs w:val="20"/>
        </w:rPr>
      </w:pPr>
    </w:p>
    <w:p w14:paraId="111C50C1"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Autorización de la Legislatura Local: Decreto número 285 expedido por la H. XV Legislatura del Estado Libre y Soberano de Quintana Roo, publicado en el Periódico Oficial del Estado de Quintana Roo el día 17 de enero de 2019.</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652C7DF"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Mecanismo de Pago: El Contrato de Fideicomiso de Administración y Fuente de Pago número F/4109047, celebrado entre el Municipio de Benito Juárez, Estado de Quintana Roo, en calidad de Fideicomitente y, por otra parte, BBVA BANCOMER, S.A., Institución de Banca Múltiple, Grupo Financiero BBVA BANCOMER, en su carácter de Fiduciario.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30CA5BA1"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Monto y Fecha de Disposición: $480,015,779.52 (son: Cuatrocientos ochenta millones quince mil setecientos setenta y   nueve pesos 52/100 M. N.) depositados el día 29 de abril de 2020.</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E29EA01"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lastRenderedPageBreak/>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9032340"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El plazo será pagadero hasta por 180 meses, mediante pagos mensuales crecientes, predeterminados y consecutivos de capital, más intereses sobre saldos insolutos.</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86BFD87" w14:textId="77777777" w:rsidR="0099016A" w:rsidRPr="005732FC" w:rsidRDefault="0099016A" w:rsidP="0099016A">
      <w:pPr>
        <w:spacing w:after="0"/>
        <w:jc w:val="both"/>
        <w:rPr>
          <w:rFonts w:ascii="Arial" w:hAnsi="Arial" w:cs="Arial"/>
          <w:sz w:val="20"/>
          <w:szCs w:val="20"/>
        </w:rPr>
      </w:pPr>
    </w:p>
    <w:p w14:paraId="41EA157C" w14:textId="77777777" w:rsidR="0099016A" w:rsidRPr="005732FC" w:rsidRDefault="0099016A" w:rsidP="0099016A">
      <w:pPr>
        <w:spacing w:after="0"/>
        <w:jc w:val="both"/>
        <w:rPr>
          <w:rFonts w:ascii="Arial" w:hAnsi="Arial" w:cs="Arial"/>
          <w:sz w:val="20"/>
          <w:szCs w:val="20"/>
        </w:rPr>
      </w:pPr>
      <w:r w:rsidRPr="005732FC">
        <w:rPr>
          <w:rFonts w:ascii="Arial" w:hAnsi="Arial" w:cs="Arial"/>
          <w:sz w:val="20"/>
          <w:szCs w:val="20"/>
        </w:rPr>
        <w:t xml:space="preserve">El pago de capital, así como los intereses, que se generen durante el plazo del crédito se deberán cubrir por el Acreditado con recursos ajenos al Crédito, teniendo como garantía de pago el 31.73% del Fondo General de Participaciones que en ingresos Federales le corresponden al Municipio de Benito Juárez, Estado de Quintana Roo.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8FF8A51" w14:textId="4C471009" w:rsidR="00CE483E" w:rsidRPr="005732FC" w:rsidRDefault="0099016A" w:rsidP="0099016A">
      <w:pPr>
        <w:spacing w:after="0"/>
        <w:jc w:val="both"/>
        <w:rPr>
          <w:rFonts w:ascii="Arial" w:hAnsi="Arial" w:cs="Arial"/>
          <w:sz w:val="20"/>
          <w:szCs w:val="20"/>
        </w:rPr>
      </w:pPr>
      <w:r w:rsidRPr="005732FC">
        <w:rPr>
          <w:rFonts w:ascii="Arial" w:hAnsi="Arial" w:cs="Arial"/>
          <w:sz w:val="20"/>
          <w:szCs w:val="20"/>
        </w:rPr>
        <w:t>El plazo máximo del crédito será hasta 180 meses a partir de la fecha en que el acreditado ejerza la primera disposición del crédito.</w:t>
      </w:r>
      <w:r w:rsidR="00CE483E" w:rsidRPr="005732FC">
        <w:rPr>
          <w:rFonts w:ascii="Arial" w:hAnsi="Arial" w:cs="Arial"/>
          <w:sz w:val="20"/>
          <w:szCs w:val="20"/>
        </w:rPr>
        <w:tab/>
      </w:r>
      <w:r w:rsidR="00CE483E" w:rsidRPr="005732FC">
        <w:rPr>
          <w:rFonts w:ascii="Arial" w:hAnsi="Arial" w:cs="Arial"/>
          <w:sz w:val="20"/>
          <w:szCs w:val="20"/>
        </w:rPr>
        <w:tab/>
      </w:r>
      <w:r w:rsidR="00CE483E" w:rsidRPr="005732FC">
        <w:rPr>
          <w:rFonts w:ascii="Arial" w:hAnsi="Arial" w:cs="Arial"/>
          <w:sz w:val="20"/>
          <w:szCs w:val="20"/>
        </w:rPr>
        <w:tab/>
      </w:r>
      <w:r w:rsidR="00CE483E" w:rsidRPr="005732FC">
        <w:rPr>
          <w:rFonts w:ascii="Arial" w:hAnsi="Arial" w:cs="Arial"/>
          <w:sz w:val="20"/>
          <w:szCs w:val="20"/>
        </w:rPr>
        <w:tab/>
      </w:r>
      <w:r w:rsidR="00CE483E" w:rsidRPr="005732FC">
        <w:rPr>
          <w:rFonts w:ascii="Arial" w:hAnsi="Arial" w:cs="Arial"/>
          <w:sz w:val="20"/>
          <w:szCs w:val="20"/>
        </w:rPr>
        <w:tab/>
      </w:r>
      <w:r w:rsidR="00CE483E" w:rsidRPr="005732FC">
        <w:rPr>
          <w:rFonts w:ascii="Arial" w:hAnsi="Arial" w:cs="Arial"/>
          <w:sz w:val="20"/>
          <w:szCs w:val="20"/>
        </w:rPr>
        <w:tab/>
      </w:r>
      <w:r w:rsidR="00CE483E" w:rsidRPr="005732FC">
        <w:rPr>
          <w:rFonts w:ascii="Arial" w:hAnsi="Arial" w:cs="Arial"/>
          <w:sz w:val="20"/>
          <w:szCs w:val="20"/>
        </w:rPr>
        <w:tab/>
      </w:r>
      <w:r w:rsidR="00CE483E" w:rsidRPr="005732FC">
        <w:rPr>
          <w:rFonts w:ascii="Arial" w:hAnsi="Arial" w:cs="Arial"/>
          <w:sz w:val="20"/>
          <w:szCs w:val="20"/>
        </w:rPr>
        <w:tab/>
      </w:r>
      <w:bookmarkEnd w:id="14"/>
      <w:r w:rsidR="00CE483E" w:rsidRPr="005732FC">
        <w:rPr>
          <w:rFonts w:ascii="Arial" w:hAnsi="Arial" w:cs="Arial"/>
          <w:sz w:val="20"/>
          <w:szCs w:val="20"/>
        </w:rPr>
        <w:tab/>
      </w:r>
    </w:p>
    <w:p w14:paraId="7B83582C" w14:textId="558C22D1" w:rsidR="004B36F7" w:rsidRPr="005732FC" w:rsidRDefault="00CE483E" w:rsidP="0099016A">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bookmarkEnd w:id="15"/>
      <w:bookmarkEnd w:id="16"/>
    </w:p>
    <w:p w14:paraId="161F1A75" w14:textId="77777777" w:rsidR="000F2BF4" w:rsidRPr="005732FC" w:rsidRDefault="00BA3347" w:rsidP="005D2B3E">
      <w:pPr>
        <w:pStyle w:val="Ttulo1"/>
        <w:rPr>
          <w:rFonts w:ascii="Arial" w:hAnsi="Arial" w:cs="Arial"/>
          <w:b/>
          <w:bCs/>
          <w:color w:val="auto"/>
          <w:sz w:val="20"/>
          <w:szCs w:val="20"/>
        </w:rPr>
      </w:pPr>
      <w:r w:rsidRPr="005732FC">
        <w:rPr>
          <w:rFonts w:ascii="Arial" w:hAnsi="Arial" w:cs="Arial"/>
          <w:b/>
          <w:bCs/>
          <w:color w:val="auto"/>
          <w:sz w:val="20"/>
          <w:szCs w:val="20"/>
        </w:rPr>
        <w:t>III</w:t>
      </w:r>
      <w:r w:rsidRPr="005732FC">
        <w:rPr>
          <w:rFonts w:ascii="Arial" w:hAnsi="Arial" w:cs="Arial"/>
          <w:b/>
          <w:bCs/>
          <w:color w:val="auto"/>
          <w:sz w:val="20"/>
          <w:szCs w:val="20"/>
        </w:rPr>
        <w:tab/>
        <w:t>Notas al Estado de Variaciones en la hacienda pública</w:t>
      </w:r>
    </w:p>
    <w:p w14:paraId="5EFD43C6" w14:textId="261531AA" w:rsidR="00BA3347" w:rsidRPr="005732FC" w:rsidRDefault="00BA3347" w:rsidP="00ED6163">
      <w:pPr>
        <w:rPr>
          <w:rFonts w:ascii="Arial" w:hAnsi="Arial" w:cs="Arial"/>
          <w:b/>
          <w:bCs/>
          <w:sz w:val="20"/>
          <w:szCs w:val="20"/>
        </w:rPr>
      </w:pP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003AE4B" w14:textId="77777777" w:rsidR="007C358A" w:rsidRPr="005732FC" w:rsidRDefault="007C358A" w:rsidP="007C358A">
      <w:pPr>
        <w:spacing w:after="0"/>
        <w:jc w:val="both"/>
        <w:rPr>
          <w:rFonts w:ascii="Arial" w:hAnsi="Arial" w:cs="Arial"/>
          <w:b/>
          <w:bCs/>
          <w:sz w:val="20"/>
          <w:szCs w:val="20"/>
        </w:rPr>
      </w:pPr>
      <w:r w:rsidRPr="005732FC">
        <w:rPr>
          <w:rFonts w:ascii="Arial" w:hAnsi="Arial" w:cs="Arial"/>
          <w:b/>
          <w:bCs/>
          <w:sz w:val="20"/>
          <w:szCs w:val="20"/>
        </w:rPr>
        <w:t>Hacienda Pública/Patrimonio</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78423BD9" w14:textId="77777777" w:rsidR="007C358A" w:rsidRPr="005732FC" w:rsidRDefault="007C358A" w:rsidP="007C358A">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FFEF469" w14:textId="77777777" w:rsidR="007C358A" w:rsidRPr="005732FC" w:rsidRDefault="007C358A" w:rsidP="007C358A">
      <w:pPr>
        <w:spacing w:after="0"/>
        <w:jc w:val="both"/>
        <w:rPr>
          <w:rFonts w:ascii="Arial" w:hAnsi="Arial" w:cs="Arial"/>
          <w:sz w:val="20"/>
          <w:szCs w:val="20"/>
        </w:rPr>
      </w:pPr>
      <w:r w:rsidRPr="005732FC">
        <w:rPr>
          <w:rFonts w:ascii="Arial" w:hAnsi="Arial" w:cs="Arial"/>
          <w:sz w:val="20"/>
          <w:szCs w:val="20"/>
        </w:rPr>
        <w:t>La cuenta de hacienda pública/patrimonio contribuido, se integra al 30 de junio de 2025 como sigue:</w:t>
      </w:r>
    </w:p>
    <w:p w14:paraId="12F32E4C" w14:textId="77777777" w:rsidR="007C358A" w:rsidRPr="005732FC" w:rsidRDefault="007C358A" w:rsidP="007C358A">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8307" w:type="dxa"/>
        <w:tblCellMar>
          <w:left w:w="70" w:type="dxa"/>
          <w:right w:w="70" w:type="dxa"/>
        </w:tblCellMar>
        <w:tblLook w:val="04A0" w:firstRow="1" w:lastRow="0" w:firstColumn="1" w:lastColumn="0" w:noHBand="0" w:noVBand="1"/>
      </w:tblPr>
      <w:tblGrid>
        <w:gridCol w:w="1820"/>
        <w:gridCol w:w="1600"/>
        <w:gridCol w:w="2392"/>
        <w:gridCol w:w="2495"/>
      </w:tblGrid>
      <w:tr w:rsidR="007C358A" w:rsidRPr="005732FC" w14:paraId="4E14EDE5" w14:textId="77777777" w:rsidTr="008C77A6">
        <w:trPr>
          <w:trHeight w:val="20"/>
          <w:tblHeader/>
        </w:trPr>
        <w:tc>
          <w:tcPr>
            <w:tcW w:w="1820" w:type="dxa"/>
            <w:tcBorders>
              <w:top w:val="single" w:sz="8" w:space="0" w:color="auto"/>
              <w:left w:val="nil"/>
              <w:bottom w:val="single" w:sz="8" w:space="0" w:color="auto"/>
              <w:right w:val="nil"/>
            </w:tcBorders>
            <w:shd w:val="clear" w:color="000000" w:fill="D9D9D9"/>
            <w:noWrap/>
            <w:vAlign w:val="center"/>
            <w:hideMark/>
          </w:tcPr>
          <w:p w14:paraId="1643DE65" w14:textId="77777777" w:rsidR="007C358A" w:rsidRPr="005732FC" w:rsidRDefault="007C358A"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1600" w:type="dxa"/>
            <w:tcBorders>
              <w:top w:val="single" w:sz="8" w:space="0" w:color="auto"/>
              <w:left w:val="nil"/>
              <w:bottom w:val="single" w:sz="8" w:space="0" w:color="auto"/>
              <w:right w:val="nil"/>
            </w:tcBorders>
            <w:shd w:val="clear" w:color="000000" w:fill="D9D9D9"/>
            <w:noWrap/>
            <w:vAlign w:val="center"/>
            <w:hideMark/>
          </w:tcPr>
          <w:p w14:paraId="44B798CA" w14:textId="77777777" w:rsidR="007C358A" w:rsidRPr="005732FC" w:rsidRDefault="007C358A"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2392" w:type="dxa"/>
            <w:tcBorders>
              <w:top w:val="single" w:sz="8" w:space="0" w:color="auto"/>
              <w:left w:val="nil"/>
              <w:bottom w:val="single" w:sz="8" w:space="0" w:color="auto"/>
              <w:right w:val="nil"/>
            </w:tcBorders>
            <w:shd w:val="clear" w:color="000000" w:fill="D9D9D9"/>
            <w:vAlign w:val="center"/>
            <w:hideMark/>
          </w:tcPr>
          <w:p w14:paraId="526D5DE4" w14:textId="77777777" w:rsidR="007C358A" w:rsidRPr="005732FC" w:rsidRDefault="007C358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495" w:type="dxa"/>
            <w:tcBorders>
              <w:top w:val="single" w:sz="8" w:space="0" w:color="auto"/>
              <w:left w:val="nil"/>
              <w:bottom w:val="single" w:sz="8" w:space="0" w:color="auto"/>
              <w:right w:val="nil"/>
            </w:tcBorders>
            <w:shd w:val="clear" w:color="000000" w:fill="D9D9D9"/>
            <w:vAlign w:val="center"/>
            <w:hideMark/>
          </w:tcPr>
          <w:p w14:paraId="48B7CBDE" w14:textId="77777777" w:rsidR="007C358A" w:rsidRPr="005732FC" w:rsidRDefault="007C358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7C358A" w:rsidRPr="005732FC" w14:paraId="30C60A3D" w14:textId="77777777" w:rsidTr="008C77A6">
        <w:trPr>
          <w:trHeight w:val="20"/>
        </w:trPr>
        <w:tc>
          <w:tcPr>
            <w:tcW w:w="1820" w:type="dxa"/>
            <w:tcBorders>
              <w:top w:val="nil"/>
              <w:left w:val="nil"/>
              <w:bottom w:val="nil"/>
              <w:right w:val="nil"/>
            </w:tcBorders>
            <w:shd w:val="clear" w:color="auto" w:fill="auto"/>
            <w:noWrap/>
            <w:vAlign w:val="center"/>
            <w:hideMark/>
          </w:tcPr>
          <w:p w14:paraId="13F759C3" w14:textId="77777777" w:rsidR="007C358A" w:rsidRPr="005732FC" w:rsidRDefault="007C358A"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Aportaciones </w:t>
            </w:r>
          </w:p>
        </w:tc>
        <w:tc>
          <w:tcPr>
            <w:tcW w:w="1600" w:type="dxa"/>
            <w:tcBorders>
              <w:top w:val="nil"/>
              <w:left w:val="nil"/>
              <w:bottom w:val="nil"/>
              <w:right w:val="nil"/>
            </w:tcBorders>
            <w:shd w:val="clear" w:color="auto" w:fill="auto"/>
            <w:noWrap/>
            <w:vAlign w:val="center"/>
            <w:hideMark/>
          </w:tcPr>
          <w:p w14:paraId="133B5314" w14:textId="77777777" w:rsidR="007C358A" w:rsidRPr="005732FC" w:rsidRDefault="007C358A" w:rsidP="008C77A6">
            <w:pPr>
              <w:spacing w:after="0" w:line="240" w:lineRule="auto"/>
              <w:rPr>
                <w:rFonts w:ascii="Arial" w:eastAsia="Times New Roman" w:hAnsi="Arial" w:cs="Arial"/>
                <w:color w:val="000000"/>
                <w:kern w:val="0"/>
                <w:sz w:val="20"/>
                <w:szCs w:val="20"/>
                <w:lang w:eastAsia="es-MX"/>
                <w14:ligatures w14:val="none"/>
              </w:rPr>
            </w:pPr>
          </w:p>
        </w:tc>
        <w:tc>
          <w:tcPr>
            <w:tcW w:w="2392" w:type="dxa"/>
            <w:tcBorders>
              <w:top w:val="nil"/>
              <w:left w:val="nil"/>
              <w:bottom w:val="nil"/>
              <w:right w:val="nil"/>
            </w:tcBorders>
            <w:shd w:val="clear" w:color="auto" w:fill="auto"/>
            <w:noWrap/>
            <w:vAlign w:val="center"/>
            <w:hideMark/>
          </w:tcPr>
          <w:p w14:paraId="65EED372" w14:textId="77777777" w:rsidR="007C358A" w:rsidRPr="005732FC" w:rsidRDefault="007C358A"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2,910,799,738.89 </w:t>
            </w:r>
          </w:p>
        </w:tc>
        <w:tc>
          <w:tcPr>
            <w:tcW w:w="2495" w:type="dxa"/>
            <w:tcBorders>
              <w:top w:val="nil"/>
              <w:left w:val="nil"/>
              <w:bottom w:val="nil"/>
              <w:right w:val="nil"/>
            </w:tcBorders>
            <w:shd w:val="clear" w:color="auto" w:fill="auto"/>
            <w:noWrap/>
            <w:vAlign w:val="center"/>
            <w:hideMark/>
          </w:tcPr>
          <w:p w14:paraId="1632AA90" w14:textId="77777777" w:rsidR="007C358A" w:rsidRPr="005732FC" w:rsidRDefault="007C358A"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2,910,799,738.89 </w:t>
            </w:r>
          </w:p>
        </w:tc>
      </w:tr>
      <w:tr w:rsidR="007C358A" w:rsidRPr="005732FC" w14:paraId="55F79ED3" w14:textId="77777777" w:rsidTr="008C77A6">
        <w:trPr>
          <w:trHeight w:val="20"/>
        </w:trPr>
        <w:tc>
          <w:tcPr>
            <w:tcW w:w="3420" w:type="dxa"/>
            <w:gridSpan w:val="2"/>
            <w:tcBorders>
              <w:top w:val="nil"/>
              <w:left w:val="nil"/>
              <w:bottom w:val="single" w:sz="8" w:space="0" w:color="auto"/>
              <w:right w:val="nil"/>
            </w:tcBorders>
            <w:shd w:val="clear" w:color="auto" w:fill="auto"/>
            <w:noWrap/>
            <w:vAlign w:val="center"/>
            <w:hideMark/>
          </w:tcPr>
          <w:p w14:paraId="38839B48" w14:textId="77777777" w:rsidR="007C358A" w:rsidRPr="005732FC" w:rsidRDefault="007C358A"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Donación de Capital</w:t>
            </w:r>
          </w:p>
        </w:tc>
        <w:tc>
          <w:tcPr>
            <w:tcW w:w="2392" w:type="dxa"/>
            <w:tcBorders>
              <w:top w:val="nil"/>
              <w:left w:val="nil"/>
              <w:bottom w:val="single" w:sz="4" w:space="0" w:color="auto"/>
              <w:right w:val="nil"/>
            </w:tcBorders>
            <w:shd w:val="clear" w:color="auto" w:fill="auto"/>
            <w:noWrap/>
            <w:vAlign w:val="center"/>
            <w:hideMark/>
          </w:tcPr>
          <w:p w14:paraId="2BE8D9D2" w14:textId="77777777" w:rsidR="007C358A" w:rsidRPr="005732FC" w:rsidRDefault="007C358A"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463,119,418.45 </w:t>
            </w:r>
          </w:p>
        </w:tc>
        <w:tc>
          <w:tcPr>
            <w:tcW w:w="2495" w:type="dxa"/>
            <w:tcBorders>
              <w:top w:val="nil"/>
              <w:left w:val="nil"/>
              <w:bottom w:val="single" w:sz="4" w:space="0" w:color="auto"/>
              <w:right w:val="nil"/>
            </w:tcBorders>
            <w:shd w:val="clear" w:color="auto" w:fill="auto"/>
            <w:noWrap/>
            <w:vAlign w:val="center"/>
            <w:hideMark/>
          </w:tcPr>
          <w:p w14:paraId="1EF91DC4" w14:textId="77777777" w:rsidR="007C358A" w:rsidRPr="005732FC" w:rsidRDefault="007C358A"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463,119,418.45 </w:t>
            </w:r>
          </w:p>
        </w:tc>
      </w:tr>
      <w:tr w:rsidR="007C358A" w:rsidRPr="005732FC" w14:paraId="2240BF41" w14:textId="77777777" w:rsidTr="008C77A6">
        <w:trPr>
          <w:trHeight w:val="20"/>
        </w:trPr>
        <w:tc>
          <w:tcPr>
            <w:tcW w:w="3420" w:type="dxa"/>
            <w:gridSpan w:val="2"/>
            <w:tcBorders>
              <w:top w:val="single" w:sz="8" w:space="0" w:color="auto"/>
              <w:left w:val="nil"/>
              <w:bottom w:val="single" w:sz="8" w:space="0" w:color="auto"/>
              <w:right w:val="nil"/>
            </w:tcBorders>
            <w:shd w:val="clear" w:color="000000" w:fill="D9D9D9"/>
            <w:vAlign w:val="center"/>
            <w:hideMark/>
          </w:tcPr>
          <w:p w14:paraId="1794EE74" w14:textId="77777777" w:rsidR="007C358A" w:rsidRPr="005732FC" w:rsidRDefault="007C358A"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Suma de la Hacienda Pública/Patrimonio contribuido</w:t>
            </w:r>
          </w:p>
        </w:tc>
        <w:tc>
          <w:tcPr>
            <w:tcW w:w="2392" w:type="dxa"/>
            <w:tcBorders>
              <w:top w:val="single" w:sz="4" w:space="0" w:color="auto"/>
              <w:left w:val="nil"/>
              <w:bottom w:val="single" w:sz="8" w:space="0" w:color="auto"/>
              <w:right w:val="nil"/>
            </w:tcBorders>
            <w:shd w:val="clear" w:color="000000" w:fill="D9D9D9"/>
            <w:noWrap/>
            <w:vAlign w:val="center"/>
            <w:hideMark/>
          </w:tcPr>
          <w:p w14:paraId="478C9DE6" w14:textId="77777777" w:rsidR="007C358A" w:rsidRPr="005732FC" w:rsidRDefault="007C358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3,373,919,157.34 </w:t>
            </w:r>
          </w:p>
        </w:tc>
        <w:tc>
          <w:tcPr>
            <w:tcW w:w="2495" w:type="dxa"/>
            <w:tcBorders>
              <w:top w:val="single" w:sz="4" w:space="0" w:color="auto"/>
              <w:left w:val="nil"/>
              <w:bottom w:val="single" w:sz="8" w:space="0" w:color="auto"/>
              <w:right w:val="nil"/>
            </w:tcBorders>
            <w:shd w:val="clear" w:color="000000" w:fill="D9D9D9"/>
            <w:noWrap/>
            <w:vAlign w:val="center"/>
            <w:hideMark/>
          </w:tcPr>
          <w:p w14:paraId="78925E83" w14:textId="77777777" w:rsidR="007C358A" w:rsidRPr="005732FC" w:rsidRDefault="007C358A"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xml:space="preserve">   3,373,919,157.34 </w:t>
            </w:r>
          </w:p>
        </w:tc>
      </w:tr>
    </w:tbl>
    <w:p w14:paraId="650F4E3E" w14:textId="725ED4D6" w:rsidR="006A3C73" w:rsidRPr="005732FC" w:rsidRDefault="006A3C73" w:rsidP="006A3C73">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AE2AB53" w14:textId="2D6CBEF6" w:rsidR="00BA3347" w:rsidRPr="005732FC" w:rsidRDefault="00BA3347" w:rsidP="005D2B3E">
      <w:pPr>
        <w:pStyle w:val="Ttulo1"/>
        <w:rPr>
          <w:rFonts w:ascii="Arial" w:hAnsi="Arial" w:cs="Arial"/>
          <w:b/>
          <w:bCs/>
          <w:color w:val="auto"/>
          <w:sz w:val="20"/>
          <w:szCs w:val="20"/>
        </w:rPr>
      </w:pPr>
      <w:r w:rsidRPr="005732FC">
        <w:rPr>
          <w:rFonts w:ascii="Arial" w:hAnsi="Arial" w:cs="Arial"/>
          <w:b/>
          <w:bCs/>
          <w:color w:val="auto"/>
          <w:sz w:val="20"/>
          <w:szCs w:val="20"/>
        </w:rPr>
        <w:t>IV</w:t>
      </w:r>
      <w:r w:rsidRPr="005732FC">
        <w:rPr>
          <w:rFonts w:ascii="Arial" w:hAnsi="Arial" w:cs="Arial"/>
          <w:b/>
          <w:bCs/>
          <w:color w:val="auto"/>
          <w:sz w:val="20"/>
          <w:szCs w:val="20"/>
        </w:rPr>
        <w:tab/>
        <w:t>Notas al Estado de Flujos de efectivo</w:t>
      </w:r>
      <w:r w:rsidRPr="005732FC">
        <w:rPr>
          <w:rFonts w:ascii="Arial" w:hAnsi="Arial" w:cs="Arial"/>
          <w:b/>
          <w:bCs/>
          <w:color w:val="auto"/>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44D37CC6"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5097664" w14:textId="77777777" w:rsidR="00461284" w:rsidRPr="005732FC" w:rsidRDefault="00461284" w:rsidP="00461284">
      <w:pPr>
        <w:spacing w:after="0"/>
        <w:jc w:val="both"/>
        <w:rPr>
          <w:rFonts w:ascii="Arial" w:hAnsi="Arial" w:cs="Arial"/>
          <w:sz w:val="20"/>
          <w:szCs w:val="20"/>
        </w:rPr>
      </w:pPr>
      <w:r w:rsidRPr="005732FC">
        <w:rPr>
          <w:rFonts w:ascii="Arial" w:hAnsi="Arial" w:cs="Arial"/>
          <w:sz w:val="20"/>
          <w:szCs w:val="20"/>
        </w:rPr>
        <w:t>Se presentan las cifras correspondientes al rubro de Efectivos y equivalentes al 30 de junio de 2025 y al 31 de diciembre de 2024 reflejados en el Estado de Flujos de Efectivo:</w:t>
      </w:r>
    </w:p>
    <w:p w14:paraId="69673F8A" w14:textId="77777777" w:rsidR="00380691" w:rsidRPr="005732FC" w:rsidRDefault="00380691" w:rsidP="00380691">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8222" w:type="dxa"/>
        <w:tblCellMar>
          <w:left w:w="70" w:type="dxa"/>
          <w:right w:w="70" w:type="dxa"/>
        </w:tblCellMar>
        <w:tblLook w:val="04A0" w:firstRow="1" w:lastRow="0" w:firstColumn="1" w:lastColumn="0" w:noHBand="0" w:noVBand="1"/>
      </w:tblPr>
      <w:tblGrid>
        <w:gridCol w:w="3840"/>
        <w:gridCol w:w="2114"/>
        <w:gridCol w:w="2268"/>
      </w:tblGrid>
      <w:tr w:rsidR="00461284" w:rsidRPr="005732FC" w14:paraId="1AA9D35E" w14:textId="77777777" w:rsidTr="0014577C">
        <w:trPr>
          <w:trHeight w:val="20"/>
          <w:tblHeader/>
        </w:trPr>
        <w:tc>
          <w:tcPr>
            <w:tcW w:w="3840" w:type="dxa"/>
            <w:tcBorders>
              <w:top w:val="single" w:sz="8" w:space="0" w:color="auto"/>
              <w:left w:val="nil"/>
              <w:bottom w:val="single" w:sz="8" w:space="0" w:color="auto"/>
              <w:right w:val="nil"/>
            </w:tcBorders>
            <w:shd w:val="clear" w:color="000000" w:fill="D9D9D9"/>
            <w:noWrap/>
            <w:vAlign w:val="center"/>
            <w:hideMark/>
          </w:tcPr>
          <w:p w14:paraId="48048254" w14:textId="77777777" w:rsidR="00461284" w:rsidRPr="005732FC" w:rsidRDefault="00461284" w:rsidP="0014577C">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114" w:type="dxa"/>
            <w:tcBorders>
              <w:top w:val="single" w:sz="8" w:space="0" w:color="auto"/>
              <w:left w:val="nil"/>
              <w:bottom w:val="single" w:sz="8" w:space="0" w:color="auto"/>
              <w:right w:val="nil"/>
            </w:tcBorders>
            <w:shd w:val="clear" w:color="000000" w:fill="D9D9D9"/>
            <w:vAlign w:val="center"/>
            <w:hideMark/>
          </w:tcPr>
          <w:p w14:paraId="7008BEE2"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30 de junio 2025</w:t>
            </w:r>
          </w:p>
        </w:tc>
        <w:tc>
          <w:tcPr>
            <w:tcW w:w="2268" w:type="dxa"/>
            <w:tcBorders>
              <w:top w:val="single" w:sz="8" w:space="0" w:color="auto"/>
              <w:left w:val="nil"/>
              <w:bottom w:val="single" w:sz="8" w:space="0" w:color="auto"/>
              <w:right w:val="nil"/>
            </w:tcBorders>
            <w:shd w:val="clear" w:color="000000" w:fill="D9D9D9"/>
            <w:vAlign w:val="center"/>
            <w:hideMark/>
          </w:tcPr>
          <w:p w14:paraId="1A8FD34C"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461284" w:rsidRPr="005732FC" w14:paraId="689253D6" w14:textId="77777777" w:rsidTr="0014577C">
        <w:trPr>
          <w:trHeight w:val="20"/>
        </w:trPr>
        <w:tc>
          <w:tcPr>
            <w:tcW w:w="3840" w:type="dxa"/>
            <w:tcBorders>
              <w:top w:val="nil"/>
              <w:left w:val="nil"/>
              <w:bottom w:val="nil"/>
              <w:right w:val="nil"/>
            </w:tcBorders>
            <w:shd w:val="clear" w:color="auto" w:fill="auto"/>
            <w:noWrap/>
            <w:vAlign w:val="center"/>
            <w:hideMark/>
          </w:tcPr>
          <w:p w14:paraId="001E7EF1"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Efectivo</w:t>
            </w:r>
          </w:p>
        </w:tc>
        <w:tc>
          <w:tcPr>
            <w:tcW w:w="2114" w:type="dxa"/>
            <w:tcBorders>
              <w:top w:val="nil"/>
              <w:left w:val="nil"/>
              <w:bottom w:val="nil"/>
              <w:right w:val="nil"/>
            </w:tcBorders>
            <w:shd w:val="clear" w:color="auto" w:fill="auto"/>
            <w:noWrap/>
            <w:vAlign w:val="center"/>
            <w:hideMark/>
          </w:tcPr>
          <w:p w14:paraId="2CF88319"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269,181.07</w:t>
            </w:r>
          </w:p>
        </w:tc>
        <w:tc>
          <w:tcPr>
            <w:tcW w:w="2268" w:type="dxa"/>
            <w:tcBorders>
              <w:top w:val="nil"/>
              <w:left w:val="nil"/>
              <w:bottom w:val="nil"/>
              <w:right w:val="nil"/>
            </w:tcBorders>
            <w:shd w:val="clear" w:color="auto" w:fill="auto"/>
            <w:noWrap/>
            <w:vAlign w:val="center"/>
            <w:hideMark/>
          </w:tcPr>
          <w:p w14:paraId="54CA1B9E"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269,181.07</w:t>
            </w:r>
          </w:p>
        </w:tc>
      </w:tr>
      <w:tr w:rsidR="00461284" w:rsidRPr="005732FC" w14:paraId="2A8455B1" w14:textId="77777777" w:rsidTr="0014577C">
        <w:trPr>
          <w:trHeight w:val="20"/>
        </w:trPr>
        <w:tc>
          <w:tcPr>
            <w:tcW w:w="3840" w:type="dxa"/>
            <w:tcBorders>
              <w:top w:val="nil"/>
              <w:left w:val="nil"/>
              <w:bottom w:val="nil"/>
              <w:right w:val="nil"/>
            </w:tcBorders>
            <w:shd w:val="clear" w:color="auto" w:fill="auto"/>
            <w:noWrap/>
            <w:vAlign w:val="center"/>
            <w:hideMark/>
          </w:tcPr>
          <w:p w14:paraId="50A737F8"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Bancos/Tesorería</w:t>
            </w:r>
          </w:p>
        </w:tc>
        <w:tc>
          <w:tcPr>
            <w:tcW w:w="2114" w:type="dxa"/>
            <w:tcBorders>
              <w:top w:val="nil"/>
              <w:left w:val="nil"/>
              <w:bottom w:val="nil"/>
              <w:right w:val="nil"/>
            </w:tcBorders>
            <w:shd w:val="clear" w:color="auto" w:fill="auto"/>
            <w:noWrap/>
            <w:vAlign w:val="center"/>
            <w:hideMark/>
          </w:tcPr>
          <w:p w14:paraId="3A1B0F45" w14:textId="06A2BFD9"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1,206,</w:t>
            </w:r>
            <w:r w:rsidR="002D218A" w:rsidRPr="005732FC">
              <w:rPr>
                <w:rFonts w:ascii="Arial" w:eastAsia="Times New Roman" w:hAnsi="Arial" w:cs="Arial"/>
                <w:color w:val="000000"/>
                <w:kern w:val="0"/>
                <w:sz w:val="20"/>
                <w:szCs w:val="20"/>
                <w:lang w:eastAsia="es-MX"/>
                <w14:ligatures w14:val="none"/>
              </w:rPr>
              <w:t>952,521.17</w:t>
            </w:r>
          </w:p>
        </w:tc>
        <w:tc>
          <w:tcPr>
            <w:tcW w:w="2268" w:type="dxa"/>
            <w:tcBorders>
              <w:top w:val="nil"/>
              <w:left w:val="nil"/>
              <w:bottom w:val="nil"/>
              <w:right w:val="nil"/>
            </w:tcBorders>
            <w:shd w:val="clear" w:color="auto" w:fill="auto"/>
            <w:noWrap/>
            <w:vAlign w:val="center"/>
            <w:hideMark/>
          </w:tcPr>
          <w:p w14:paraId="3B258C4E"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653,047,472.34</w:t>
            </w:r>
          </w:p>
        </w:tc>
      </w:tr>
      <w:tr w:rsidR="00461284" w:rsidRPr="005732FC" w14:paraId="7D6EBF41" w14:textId="77777777" w:rsidTr="0014577C">
        <w:trPr>
          <w:trHeight w:val="20"/>
        </w:trPr>
        <w:tc>
          <w:tcPr>
            <w:tcW w:w="3840" w:type="dxa"/>
            <w:tcBorders>
              <w:top w:val="nil"/>
              <w:left w:val="nil"/>
              <w:bottom w:val="nil"/>
              <w:right w:val="nil"/>
            </w:tcBorders>
            <w:shd w:val="clear" w:color="auto" w:fill="auto"/>
            <w:noWrap/>
            <w:vAlign w:val="center"/>
            <w:hideMark/>
          </w:tcPr>
          <w:p w14:paraId="31D83A79"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Bancos/Dependencias y Otros</w:t>
            </w:r>
          </w:p>
        </w:tc>
        <w:tc>
          <w:tcPr>
            <w:tcW w:w="2114" w:type="dxa"/>
            <w:tcBorders>
              <w:top w:val="nil"/>
              <w:left w:val="nil"/>
              <w:bottom w:val="nil"/>
              <w:right w:val="nil"/>
            </w:tcBorders>
            <w:shd w:val="clear" w:color="auto" w:fill="auto"/>
            <w:noWrap/>
            <w:vAlign w:val="center"/>
            <w:hideMark/>
          </w:tcPr>
          <w:p w14:paraId="4F47FF42"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noWrap/>
            <w:vAlign w:val="center"/>
            <w:hideMark/>
          </w:tcPr>
          <w:p w14:paraId="181875E0"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461284" w:rsidRPr="005732FC" w14:paraId="46E156FC" w14:textId="77777777" w:rsidTr="0014577C">
        <w:trPr>
          <w:trHeight w:val="20"/>
        </w:trPr>
        <w:tc>
          <w:tcPr>
            <w:tcW w:w="3840" w:type="dxa"/>
            <w:tcBorders>
              <w:top w:val="nil"/>
              <w:left w:val="nil"/>
              <w:bottom w:val="nil"/>
              <w:right w:val="nil"/>
            </w:tcBorders>
            <w:shd w:val="clear" w:color="auto" w:fill="auto"/>
            <w:noWrap/>
            <w:vAlign w:val="center"/>
            <w:hideMark/>
          </w:tcPr>
          <w:p w14:paraId="1CAC1940"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Inversiones temporales (Hasta 3 meses)</w:t>
            </w:r>
          </w:p>
        </w:tc>
        <w:tc>
          <w:tcPr>
            <w:tcW w:w="2114" w:type="dxa"/>
            <w:tcBorders>
              <w:top w:val="nil"/>
              <w:left w:val="nil"/>
              <w:bottom w:val="nil"/>
              <w:right w:val="nil"/>
            </w:tcBorders>
            <w:shd w:val="clear" w:color="auto" w:fill="auto"/>
            <w:noWrap/>
            <w:vAlign w:val="center"/>
            <w:hideMark/>
          </w:tcPr>
          <w:p w14:paraId="115170D0"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819,990,738.29</w:t>
            </w:r>
          </w:p>
        </w:tc>
        <w:tc>
          <w:tcPr>
            <w:tcW w:w="2268" w:type="dxa"/>
            <w:tcBorders>
              <w:top w:val="nil"/>
              <w:left w:val="nil"/>
              <w:bottom w:val="nil"/>
              <w:right w:val="nil"/>
            </w:tcBorders>
            <w:shd w:val="clear" w:color="auto" w:fill="auto"/>
            <w:noWrap/>
            <w:vAlign w:val="center"/>
            <w:hideMark/>
          </w:tcPr>
          <w:p w14:paraId="7C6196C1"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526,480,769.07</w:t>
            </w:r>
          </w:p>
        </w:tc>
      </w:tr>
      <w:tr w:rsidR="00461284" w:rsidRPr="005732FC" w14:paraId="0FF5F4D5" w14:textId="77777777" w:rsidTr="0014577C">
        <w:trPr>
          <w:trHeight w:val="20"/>
        </w:trPr>
        <w:tc>
          <w:tcPr>
            <w:tcW w:w="3840" w:type="dxa"/>
            <w:tcBorders>
              <w:top w:val="nil"/>
              <w:left w:val="nil"/>
              <w:bottom w:val="nil"/>
              <w:right w:val="nil"/>
            </w:tcBorders>
            <w:shd w:val="clear" w:color="auto" w:fill="auto"/>
            <w:noWrap/>
            <w:vAlign w:val="center"/>
            <w:hideMark/>
          </w:tcPr>
          <w:p w14:paraId="4DD2D88A"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Fondos con Afectación Específica</w:t>
            </w:r>
          </w:p>
        </w:tc>
        <w:tc>
          <w:tcPr>
            <w:tcW w:w="2114" w:type="dxa"/>
            <w:tcBorders>
              <w:top w:val="nil"/>
              <w:left w:val="nil"/>
              <w:bottom w:val="nil"/>
              <w:right w:val="nil"/>
            </w:tcBorders>
            <w:shd w:val="clear" w:color="auto" w:fill="auto"/>
            <w:noWrap/>
            <w:vAlign w:val="center"/>
            <w:hideMark/>
          </w:tcPr>
          <w:p w14:paraId="2CC9FB8D"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noWrap/>
            <w:vAlign w:val="center"/>
            <w:hideMark/>
          </w:tcPr>
          <w:p w14:paraId="5BC42CC2"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461284" w:rsidRPr="005732FC" w14:paraId="361C0E73" w14:textId="77777777" w:rsidTr="0014577C">
        <w:trPr>
          <w:trHeight w:val="20"/>
        </w:trPr>
        <w:tc>
          <w:tcPr>
            <w:tcW w:w="3840" w:type="dxa"/>
            <w:tcBorders>
              <w:top w:val="nil"/>
              <w:left w:val="nil"/>
              <w:bottom w:val="nil"/>
              <w:right w:val="nil"/>
            </w:tcBorders>
            <w:shd w:val="clear" w:color="auto" w:fill="auto"/>
            <w:vAlign w:val="center"/>
            <w:hideMark/>
          </w:tcPr>
          <w:p w14:paraId="69BE477F"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Depósitos de Fondos de Terceros en Garantía y/o Administración</w:t>
            </w:r>
          </w:p>
        </w:tc>
        <w:tc>
          <w:tcPr>
            <w:tcW w:w="2114" w:type="dxa"/>
            <w:tcBorders>
              <w:top w:val="nil"/>
              <w:left w:val="nil"/>
              <w:bottom w:val="nil"/>
              <w:right w:val="nil"/>
            </w:tcBorders>
            <w:shd w:val="clear" w:color="auto" w:fill="auto"/>
            <w:noWrap/>
            <w:vAlign w:val="center"/>
            <w:hideMark/>
          </w:tcPr>
          <w:p w14:paraId="43C9D536"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479,470,486.56</w:t>
            </w:r>
          </w:p>
        </w:tc>
        <w:tc>
          <w:tcPr>
            <w:tcW w:w="2268" w:type="dxa"/>
            <w:tcBorders>
              <w:top w:val="nil"/>
              <w:left w:val="nil"/>
              <w:bottom w:val="nil"/>
              <w:right w:val="nil"/>
            </w:tcBorders>
            <w:shd w:val="clear" w:color="auto" w:fill="auto"/>
            <w:noWrap/>
            <w:vAlign w:val="center"/>
            <w:hideMark/>
          </w:tcPr>
          <w:p w14:paraId="31055F0C"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418,278,732.42</w:t>
            </w:r>
          </w:p>
        </w:tc>
      </w:tr>
      <w:tr w:rsidR="00461284" w:rsidRPr="005732FC" w14:paraId="6B791F9A" w14:textId="77777777" w:rsidTr="0014577C">
        <w:trPr>
          <w:trHeight w:val="20"/>
        </w:trPr>
        <w:tc>
          <w:tcPr>
            <w:tcW w:w="3840" w:type="dxa"/>
            <w:tcBorders>
              <w:top w:val="nil"/>
              <w:left w:val="nil"/>
              <w:bottom w:val="single" w:sz="8" w:space="0" w:color="auto"/>
              <w:right w:val="nil"/>
            </w:tcBorders>
            <w:shd w:val="clear" w:color="auto" w:fill="auto"/>
            <w:noWrap/>
            <w:vAlign w:val="center"/>
            <w:hideMark/>
          </w:tcPr>
          <w:p w14:paraId="6D63295E" w14:textId="77777777" w:rsidR="00461284" w:rsidRPr="005732FC" w:rsidRDefault="00461284" w:rsidP="0014577C">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Otros Efectivos y Equivalentes</w:t>
            </w:r>
          </w:p>
        </w:tc>
        <w:tc>
          <w:tcPr>
            <w:tcW w:w="2114" w:type="dxa"/>
            <w:tcBorders>
              <w:top w:val="nil"/>
              <w:left w:val="nil"/>
              <w:bottom w:val="single" w:sz="8" w:space="0" w:color="auto"/>
              <w:right w:val="nil"/>
            </w:tcBorders>
            <w:shd w:val="clear" w:color="auto" w:fill="auto"/>
            <w:noWrap/>
            <w:vAlign w:val="center"/>
            <w:hideMark/>
          </w:tcPr>
          <w:p w14:paraId="1036E1F4"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8" w:space="0" w:color="auto"/>
              <w:right w:val="nil"/>
            </w:tcBorders>
            <w:shd w:val="clear" w:color="auto" w:fill="auto"/>
            <w:noWrap/>
            <w:vAlign w:val="center"/>
            <w:hideMark/>
          </w:tcPr>
          <w:p w14:paraId="24870936" w14:textId="77777777" w:rsidR="00461284" w:rsidRPr="005732FC" w:rsidRDefault="00461284" w:rsidP="0014577C">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461284" w:rsidRPr="005732FC" w14:paraId="2CF8A991" w14:textId="77777777" w:rsidTr="0014577C">
        <w:trPr>
          <w:trHeight w:val="20"/>
        </w:trPr>
        <w:tc>
          <w:tcPr>
            <w:tcW w:w="3840" w:type="dxa"/>
            <w:tcBorders>
              <w:top w:val="nil"/>
              <w:left w:val="nil"/>
              <w:bottom w:val="single" w:sz="8" w:space="0" w:color="auto"/>
              <w:right w:val="nil"/>
            </w:tcBorders>
            <w:shd w:val="clear" w:color="000000" w:fill="D9D9D9"/>
            <w:noWrap/>
            <w:vAlign w:val="center"/>
            <w:hideMark/>
          </w:tcPr>
          <w:p w14:paraId="20BE3F9F" w14:textId="77777777" w:rsidR="00461284" w:rsidRPr="005732FC" w:rsidRDefault="00461284" w:rsidP="0014577C">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2114" w:type="dxa"/>
            <w:tcBorders>
              <w:top w:val="nil"/>
              <w:left w:val="nil"/>
              <w:bottom w:val="single" w:sz="8" w:space="0" w:color="auto"/>
              <w:right w:val="nil"/>
            </w:tcBorders>
            <w:shd w:val="clear" w:color="000000" w:fill="D9D9D9"/>
            <w:noWrap/>
            <w:vAlign w:val="center"/>
            <w:hideMark/>
          </w:tcPr>
          <w:p w14:paraId="3D9B8729" w14:textId="05FF9E3F"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2,506,</w:t>
            </w:r>
            <w:r w:rsidR="002D218A" w:rsidRPr="005732FC">
              <w:rPr>
                <w:rFonts w:ascii="Arial" w:eastAsia="Times New Roman" w:hAnsi="Arial" w:cs="Arial"/>
                <w:b/>
                <w:bCs/>
                <w:color w:val="000000"/>
                <w:kern w:val="0"/>
                <w:sz w:val="20"/>
                <w:szCs w:val="20"/>
                <w:lang w:eastAsia="es-MX"/>
                <w14:ligatures w14:val="none"/>
              </w:rPr>
              <w:t>682,927.09</w:t>
            </w:r>
          </w:p>
        </w:tc>
        <w:tc>
          <w:tcPr>
            <w:tcW w:w="2268" w:type="dxa"/>
            <w:tcBorders>
              <w:top w:val="nil"/>
              <w:left w:val="nil"/>
              <w:bottom w:val="single" w:sz="8" w:space="0" w:color="auto"/>
              <w:right w:val="nil"/>
            </w:tcBorders>
            <w:shd w:val="clear" w:color="000000" w:fill="D9D9D9"/>
            <w:noWrap/>
            <w:vAlign w:val="center"/>
            <w:hideMark/>
          </w:tcPr>
          <w:p w14:paraId="129D05EA" w14:textId="77777777" w:rsidR="00461284" w:rsidRPr="005732FC" w:rsidRDefault="00461284" w:rsidP="0014577C">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1,598,076,154.90</w:t>
            </w:r>
          </w:p>
        </w:tc>
      </w:tr>
    </w:tbl>
    <w:p w14:paraId="41F043C2" w14:textId="7292C273" w:rsidR="00BA3347" w:rsidRPr="005732FC" w:rsidRDefault="00BA3347" w:rsidP="005D1D33">
      <w:pPr>
        <w:spacing w:after="0"/>
        <w:jc w:val="both"/>
        <w:rPr>
          <w:rFonts w:ascii="Arial" w:hAnsi="Arial" w:cs="Arial"/>
          <w:sz w:val="20"/>
          <w:szCs w:val="20"/>
        </w:rPr>
      </w:pPr>
    </w:p>
    <w:p w14:paraId="39644484" w14:textId="0E29ED80" w:rsidR="00BA3347" w:rsidRPr="005732FC" w:rsidRDefault="00BA3347" w:rsidP="005D1D33">
      <w:pPr>
        <w:spacing w:after="0"/>
        <w:jc w:val="both"/>
        <w:rPr>
          <w:rFonts w:ascii="Arial" w:hAnsi="Arial" w:cs="Arial"/>
          <w:sz w:val="20"/>
          <w:szCs w:val="20"/>
        </w:rPr>
      </w:pPr>
      <w:r w:rsidRPr="005732FC">
        <w:rPr>
          <w:rFonts w:ascii="Arial" w:hAnsi="Arial" w:cs="Arial"/>
          <w:sz w:val="20"/>
          <w:szCs w:val="20"/>
        </w:rPr>
        <w:t>A continuación, se detallan las adquisiciones de las Actividades de Inversión efectivamente pagadas, respecto del apartado de</w:t>
      </w:r>
      <w:r w:rsidR="0089349A" w:rsidRPr="005732FC">
        <w:rPr>
          <w:rFonts w:ascii="Arial" w:hAnsi="Arial" w:cs="Arial"/>
          <w:sz w:val="20"/>
          <w:szCs w:val="20"/>
        </w:rPr>
        <w:t xml:space="preserve"> </w:t>
      </w:r>
      <w:r w:rsidRPr="005732FC">
        <w:rPr>
          <w:rFonts w:ascii="Arial" w:hAnsi="Arial" w:cs="Arial"/>
          <w:sz w:val="20"/>
          <w:szCs w:val="20"/>
        </w:rPr>
        <w:t>aplicación del Estado de Flujos de Efectivo</w:t>
      </w:r>
      <w:r w:rsidR="00160029" w:rsidRPr="005732FC">
        <w:rPr>
          <w:rFonts w:ascii="Arial" w:hAnsi="Arial" w:cs="Arial"/>
          <w:sz w:val="20"/>
          <w:szCs w:val="20"/>
        </w:rPr>
        <w:t>:</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4D5806F" w14:textId="77777777" w:rsidR="00121327" w:rsidRPr="005732FC" w:rsidRDefault="00121327" w:rsidP="005D1D33">
      <w:pPr>
        <w:spacing w:after="0"/>
        <w:jc w:val="both"/>
        <w:rPr>
          <w:rFonts w:ascii="Arial" w:hAnsi="Arial" w:cs="Arial"/>
          <w:sz w:val="20"/>
          <w:szCs w:val="20"/>
        </w:rPr>
      </w:pPr>
    </w:p>
    <w:tbl>
      <w:tblPr>
        <w:tblW w:w="9498" w:type="dxa"/>
        <w:tblCellMar>
          <w:left w:w="70" w:type="dxa"/>
          <w:right w:w="70" w:type="dxa"/>
        </w:tblCellMar>
        <w:tblLook w:val="04A0" w:firstRow="1" w:lastRow="0" w:firstColumn="1" w:lastColumn="0" w:noHBand="0" w:noVBand="1"/>
      </w:tblPr>
      <w:tblGrid>
        <w:gridCol w:w="4960"/>
        <w:gridCol w:w="2270"/>
        <w:gridCol w:w="2268"/>
      </w:tblGrid>
      <w:tr w:rsidR="00606F04" w:rsidRPr="009C0278" w14:paraId="01284CB3" w14:textId="77777777" w:rsidTr="00160029">
        <w:trPr>
          <w:trHeight w:val="20"/>
          <w:tblHeader/>
        </w:trPr>
        <w:tc>
          <w:tcPr>
            <w:tcW w:w="9498" w:type="dxa"/>
            <w:gridSpan w:val="3"/>
            <w:tcBorders>
              <w:top w:val="single" w:sz="8" w:space="0" w:color="auto"/>
              <w:left w:val="nil"/>
              <w:bottom w:val="single" w:sz="8" w:space="0" w:color="auto"/>
              <w:right w:val="nil"/>
            </w:tcBorders>
            <w:shd w:val="clear" w:color="000000" w:fill="D9D9D9"/>
            <w:vAlign w:val="center"/>
            <w:hideMark/>
          </w:tcPr>
          <w:p w14:paraId="4468BD05" w14:textId="77777777" w:rsidR="00606F04" w:rsidRPr="009C0278" w:rsidRDefault="00606F04" w:rsidP="00606F04">
            <w:pPr>
              <w:spacing w:after="0" w:line="240" w:lineRule="auto"/>
              <w:jc w:val="center"/>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Adquisiciones de Actividades de Inversión efectivamente pagadas</w:t>
            </w:r>
          </w:p>
        </w:tc>
      </w:tr>
      <w:tr w:rsidR="00160029" w:rsidRPr="009C0278" w14:paraId="27EE3272" w14:textId="77777777" w:rsidTr="00160029">
        <w:trPr>
          <w:trHeight w:val="20"/>
          <w:tblHeader/>
        </w:trPr>
        <w:tc>
          <w:tcPr>
            <w:tcW w:w="4960" w:type="dxa"/>
            <w:tcBorders>
              <w:top w:val="nil"/>
              <w:left w:val="nil"/>
              <w:bottom w:val="single" w:sz="8" w:space="0" w:color="auto"/>
              <w:right w:val="nil"/>
            </w:tcBorders>
            <w:shd w:val="clear" w:color="000000" w:fill="D9D9D9"/>
            <w:vAlign w:val="center"/>
            <w:hideMark/>
          </w:tcPr>
          <w:p w14:paraId="02132761" w14:textId="77777777" w:rsidR="00160029" w:rsidRPr="009C0278" w:rsidRDefault="00160029" w:rsidP="00160029">
            <w:pPr>
              <w:spacing w:after="0" w:line="240" w:lineRule="auto"/>
              <w:jc w:val="center"/>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Concepto</w:t>
            </w:r>
          </w:p>
        </w:tc>
        <w:tc>
          <w:tcPr>
            <w:tcW w:w="2270" w:type="dxa"/>
            <w:tcBorders>
              <w:top w:val="nil"/>
              <w:left w:val="nil"/>
              <w:bottom w:val="single" w:sz="8" w:space="0" w:color="auto"/>
              <w:right w:val="nil"/>
            </w:tcBorders>
            <w:shd w:val="clear" w:color="000000" w:fill="D9D9D9"/>
            <w:vAlign w:val="center"/>
            <w:hideMark/>
          </w:tcPr>
          <w:p w14:paraId="33DA5822" w14:textId="53FF751D" w:rsidR="00160029" w:rsidRPr="009C0278" w:rsidRDefault="004E3D9A" w:rsidP="00160029">
            <w:pPr>
              <w:spacing w:after="0" w:line="240" w:lineRule="auto"/>
              <w:jc w:val="right"/>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3</w:t>
            </w:r>
            <w:r w:rsidR="00654FC1" w:rsidRPr="009C0278">
              <w:rPr>
                <w:rFonts w:ascii="Arial" w:eastAsia="Times New Roman" w:hAnsi="Arial" w:cs="Arial"/>
                <w:b/>
                <w:bCs/>
                <w:color w:val="000000"/>
                <w:kern w:val="0"/>
                <w:sz w:val="20"/>
                <w:szCs w:val="20"/>
                <w:lang w:eastAsia="es-MX"/>
                <w14:ligatures w14:val="none"/>
              </w:rPr>
              <w:t>0</w:t>
            </w:r>
            <w:r w:rsidRPr="009C0278">
              <w:rPr>
                <w:rFonts w:ascii="Arial" w:eastAsia="Times New Roman" w:hAnsi="Arial" w:cs="Arial"/>
                <w:b/>
                <w:bCs/>
                <w:color w:val="000000"/>
                <w:kern w:val="0"/>
                <w:sz w:val="20"/>
                <w:szCs w:val="20"/>
                <w:lang w:eastAsia="es-MX"/>
                <w14:ligatures w14:val="none"/>
              </w:rPr>
              <w:t xml:space="preserve"> de </w:t>
            </w:r>
            <w:r w:rsidR="00654FC1" w:rsidRPr="009C0278">
              <w:rPr>
                <w:rFonts w:ascii="Arial" w:eastAsia="Times New Roman" w:hAnsi="Arial" w:cs="Arial"/>
                <w:b/>
                <w:bCs/>
                <w:color w:val="000000"/>
                <w:kern w:val="0"/>
                <w:sz w:val="20"/>
                <w:szCs w:val="20"/>
                <w:lang w:eastAsia="es-MX"/>
                <w14:ligatures w14:val="none"/>
              </w:rPr>
              <w:t>junio</w:t>
            </w:r>
            <w:r w:rsidR="00160029" w:rsidRPr="009C0278">
              <w:rPr>
                <w:rFonts w:ascii="Arial" w:eastAsia="Times New Roman" w:hAnsi="Arial" w:cs="Arial"/>
                <w:b/>
                <w:bCs/>
                <w:color w:val="000000"/>
                <w:kern w:val="0"/>
                <w:sz w:val="20"/>
                <w:szCs w:val="20"/>
                <w:lang w:eastAsia="es-MX"/>
                <w14:ligatures w14:val="none"/>
              </w:rPr>
              <w:t xml:space="preserve"> 202</w:t>
            </w:r>
            <w:r w:rsidR="00E463D1" w:rsidRPr="009C0278">
              <w:rPr>
                <w:rFonts w:ascii="Arial" w:eastAsia="Times New Roman" w:hAnsi="Arial" w:cs="Arial"/>
                <w:b/>
                <w:bCs/>
                <w:color w:val="000000"/>
                <w:kern w:val="0"/>
                <w:sz w:val="20"/>
                <w:szCs w:val="20"/>
                <w:lang w:eastAsia="es-MX"/>
                <w14:ligatures w14:val="none"/>
              </w:rPr>
              <w:t>5</w:t>
            </w:r>
          </w:p>
        </w:tc>
        <w:tc>
          <w:tcPr>
            <w:tcW w:w="2268" w:type="dxa"/>
            <w:tcBorders>
              <w:top w:val="nil"/>
              <w:left w:val="nil"/>
              <w:bottom w:val="single" w:sz="8" w:space="0" w:color="auto"/>
              <w:right w:val="nil"/>
            </w:tcBorders>
            <w:shd w:val="clear" w:color="000000" w:fill="D9D9D9"/>
            <w:vAlign w:val="center"/>
            <w:hideMark/>
          </w:tcPr>
          <w:p w14:paraId="5A73CF8D" w14:textId="328FE7B2" w:rsidR="00160029" w:rsidRPr="009C0278" w:rsidRDefault="00160029" w:rsidP="00160029">
            <w:pPr>
              <w:spacing w:after="0" w:line="240" w:lineRule="auto"/>
              <w:jc w:val="right"/>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31 de diciembre 2024</w:t>
            </w:r>
          </w:p>
        </w:tc>
      </w:tr>
      <w:tr w:rsidR="00160029" w:rsidRPr="009C0278" w14:paraId="1A6E489E" w14:textId="77777777" w:rsidTr="00160029">
        <w:trPr>
          <w:trHeight w:val="20"/>
        </w:trPr>
        <w:tc>
          <w:tcPr>
            <w:tcW w:w="4960" w:type="dxa"/>
            <w:tcBorders>
              <w:top w:val="nil"/>
              <w:left w:val="nil"/>
              <w:bottom w:val="nil"/>
              <w:right w:val="nil"/>
            </w:tcBorders>
            <w:shd w:val="clear" w:color="auto" w:fill="auto"/>
            <w:vAlign w:val="center"/>
            <w:hideMark/>
          </w:tcPr>
          <w:p w14:paraId="781215E1" w14:textId="77777777" w:rsidR="00160029" w:rsidRPr="009C0278" w:rsidRDefault="00160029" w:rsidP="00160029">
            <w:pPr>
              <w:spacing w:after="0" w:line="240" w:lineRule="auto"/>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Bienes Inmuebles, Infraestructura y Construcciones en Proceso</w:t>
            </w:r>
          </w:p>
        </w:tc>
        <w:tc>
          <w:tcPr>
            <w:tcW w:w="2270" w:type="dxa"/>
            <w:tcBorders>
              <w:top w:val="nil"/>
              <w:left w:val="nil"/>
              <w:bottom w:val="nil"/>
              <w:right w:val="nil"/>
            </w:tcBorders>
            <w:shd w:val="clear" w:color="auto" w:fill="auto"/>
            <w:vAlign w:val="center"/>
            <w:hideMark/>
          </w:tcPr>
          <w:p w14:paraId="68DE4A1A" w14:textId="077FF84F" w:rsidR="00160029" w:rsidRPr="009C0278" w:rsidRDefault="00E463D1" w:rsidP="00160029">
            <w:pPr>
              <w:spacing w:after="0" w:line="240" w:lineRule="auto"/>
              <w:jc w:val="right"/>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32CDC0E8" w14:textId="206B6D97" w:rsidR="00160029" w:rsidRPr="009C0278" w:rsidRDefault="00160029" w:rsidP="00160029">
            <w:pPr>
              <w:spacing w:after="0" w:line="240" w:lineRule="auto"/>
              <w:jc w:val="right"/>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317,593,045.20</w:t>
            </w:r>
          </w:p>
        </w:tc>
      </w:tr>
      <w:tr w:rsidR="00160029" w:rsidRPr="009C0278" w14:paraId="695C2C1A" w14:textId="77777777" w:rsidTr="00160029">
        <w:trPr>
          <w:trHeight w:val="20"/>
        </w:trPr>
        <w:tc>
          <w:tcPr>
            <w:tcW w:w="4960" w:type="dxa"/>
            <w:tcBorders>
              <w:top w:val="nil"/>
              <w:left w:val="nil"/>
              <w:bottom w:val="nil"/>
              <w:right w:val="nil"/>
            </w:tcBorders>
            <w:shd w:val="clear" w:color="auto" w:fill="auto"/>
            <w:noWrap/>
            <w:vAlign w:val="center"/>
            <w:hideMark/>
          </w:tcPr>
          <w:p w14:paraId="13E4A20E"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Terrenos</w:t>
            </w:r>
          </w:p>
        </w:tc>
        <w:tc>
          <w:tcPr>
            <w:tcW w:w="2270" w:type="dxa"/>
            <w:tcBorders>
              <w:top w:val="nil"/>
              <w:left w:val="nil"/>
              <w:bottom w:val="nil"/>
              <w:right w:val="nil"/>
            </w:tcBorders>
            <w:shd w:val="clear" w:color="auto" w:fill="auto"/>
            <w:vAlign w:val="center"/>
            <w:hideMark/>
          </w:tcPr>
          <w:p w14:paraId="45299F98" w14:textId="77777777"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68DC6002" w14:textId="4C7DA472"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r>
      <w:tr w:rsidR="00160029" w:rsidRPr="009C0278" w14:paraId="567F7DF1" w14:textId="77777777" w:rsidTr="00160029">
        <w:trPr>
          <w:trHeight w:val="20"/>
        </w:trPr>
        <w:tc>
          <w:tcPr>
            <w:tcW w:w="4960" w:type="dxa"/>
            <w:tcBorders>
              <w:top w:val="nil"/>
              <w:left w:val="nil"/>
              <w:bottom w:val="nil"/>
              <w:right w:val="nil"/>
            </w:tcBorders>
            <w:shd w:val="clear" w:color="auto" w:fill="auto"/>
            <w:noWrap/>
            <w:vAlign w:val="center"/>
            <w:hideMark/>
          </w:tcPr>
          <w:p w14:paraId="1014D98F"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Viviendas</w:t>
            </w:r>
          </w:p>
        </w:tc>
        <w:tc>
          <w:tcPr>
            <w:tcW w:w="2270" w:type="dxa"/>
            <w:tcBorders>
              <w:top w:val="nil"/>
              <w:left w:val="nil"/>
              <w:bottom w:val="nil"/>
              <w:right w:val="nil"/>
            </w:tcBorders>
            <w:shd w:val="clear" w:color="auto" w:fill="auto"/>
            <w:vAlign w:val="center"/>
            <w:hideMark/>
          </w:tcPr>
          <w:p w14:paraId="0AEAFCF3" w14:textId="77777777"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73F69A04" w14:textId="1585CB21"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r>
      <w:tr w:rsidR="00160029" w:rsidRPr="009C0278" w14:paraId="5BB1B611" w14:textId="77777777" w:rsidTr="00160029">
        <w:trPr>
          <w:trHeight w:val="20"/>
        </w:trPr>
        <w:tc>
          <w:tcPr>
            <w:tcW w:w="4960" w:type="dxa"/>
            <w:tcBorders>
              <w:top w:val="nil"/>
              <w:left w:val="nil"/>
              <w:bottom w:val="nil"/>
              <w:right w:val="nil"/>
            </w:tcBorders>
            <w:shd w:val="clear" w:color="auto" w:fill="auto"/>
            <w:noWrap/>
            <w:vAlign w:val="center"/>
            <w:hideMark/>
          </w:tcPr>
          <w:p w14:paraId="740F755E"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Edificios no Habitacionales</w:t>
            </w:r>
          </w:p>
        </w:tc>
        <w:tc>
          <w:tcPr>
            <w:tcW w:w="2270" w:type="dxa"/>
            <w:tcBorders>
              <w:top w:val="nil"/>
              <w:left w:val="nil"/>
              <w:bottom w:val="nil"/>
              <w:right w:val="nil"/>
            </w:tcBorders>
            <w:shd w:val="clear" w:color="auto" w:fill="auto"/>
            <w:vAlign w:val="center"/>
            <w:hideMark/>
          </w:tcPr>
          <w:p w14:paraId="101689CB" w14:textId="77777777"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4BB0E0ED" w14:textId="33695E74"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r>
      <w:tr w:rsidR="00160029" w:rsidRPr="009C0278" w14:paraId="7DE399E3" w14:textId="77777777" w:rsidTr="00160029">
        <w:trPr>
          <w:trHeight w:val="20"/>
        </w:trPr>
        <w:tc>
          <w:tcPr>
            <w:tcW w:w="4960" w:type="dxa"/>
            <w:tcBorders>
              <w:top w:val="nil"/>
              <w:left w:val="nil"/>
              <w:bottom w:val="nil"/>
              <w:right w:val="nil"/>
            </w:tcBorders>
            <w:shd w:val="clear" w:color="auto" w:fill="auto"/>
            <w:noWrap/>
            <w:vAlign w:val="center"/>
            <w:hideMark/>
          </w:tcPr>
          <w:p w14:paraId="4BA29F70"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Infraestructura</w:t>
            </w:r>
          </w:p>
        </w:tc>
        <w:tc>
          <w:tcPr>
            <w:tcW w:w="2270" w:type="dxa"/>
            <w:tcBorders>
              <w:top w:val="nil"/>
              <w:left w:val="nil"/>
              <w:bottom w:val="nil"/>
              <w:right w:val="nil"/>
            </w:tcBorders>
            <w:shd w:val="clear" w:color="auto" w:fill="auto"/>
            <w:vAlign w:val="center"/>
            <w:hideMark/>
          </w:tcPr>
          <w:p w14:paraId="38CB6FCB" w14:textId="77777777"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6F8C8BFF" w14:textId="385C1689"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r>
      <w:tr w:rsidR="00160029" w:rsidRPr="009C0278" w14:paraId="204A820A" w14:textId="77777777" w:rsidTr="00160029">
        <w:trPr>
          <w:trHeight w:val="20"/>
        </w:trPr>
        <w:tc>
          <w:tcPr>
            <w:tcW w:w="4960" w:type="dxa"/>
            <w:tcBorders>
              <w:top w:val="nil"/>
              <w:left w:val="nil"/>
              <w:bottom w:val="nil"/>
              <w:right w:val="nil"/>
            </w:tcBorders>
            <w:shd w:val="clear" w:color="auto" w:fill="auto"/>
            <w:vAlign w:val="center"/>
            <w:hideMark/>
          </w:tcPr>
          <w:p w14:paraId="1F939B2B"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lastRenderedPageBreak/>
              <w:t>Construcciones en Proceso en Bienes de Dominio Público</w:t>
            </w:r>
          </w:p>
        </w:tc>
        <w:tc>
          <w:tcPr>
            <w:tcW w:w="2270" w:type="dxa"/>
            <w:tcBorders>
              <w:top w:val="nil"/>
              <w:left w:val="nil"/>
              <w:bottom w:val="nil"/>
              <w:right w:val="nil"/>
            </w:tcBorders>
            <w:shd w:val="clear" w:color="auto" w:fill="auto"/>
            <w:vAlign w:val="center"/>
            <w:hideMark/>
          </w:tcPr>
          <w:p w14:paraId="7CB48447" w14:textId="19EF7358" w:rsidR="00160029" w:rsidRPr="009C0278" w:rsidRDefault="00E463D1"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344398D2" w14:textId="0DF9DA98"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313,159,301.45</w:t>
            </w:r>
          </w:p>
        </w:tc>
      </w:tr>
      <w:tr w:rsidR="00160029" w:rsidRPr="009C0278" w14:paraId="1B877ECA" w14:textId="77777777" w:rsidTr="00160029">
        <w:trPr>
          <w:trHeight w:val="20"/>
        </w:trPr>
        <w:tc>
          <w:tcPr>
            <w:tcW w:w="4960" w:type="dxa"/>
            <w:tcBorders>
              <w:top w:val="nil"/>
              <w:left w:val="nil"/>
              <w:bottom w:val="nil"/>
              <w:right w:val="nil"/>
            </w:tcBorders>
            <w:shd w:val="clear" w:color="auto" w:fill="auto"/>
            <w:noWrap/>
            <w:vAlign w:val="center"/>
            <w:hideMark/>
          </w:tcPr>
          <w:p w14:paraId="656B73A0"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Construcciones en Proceso en Bienes Propios</w:t>
            </w:r>
          </w:p>
        </w:tc>
        <w:tc>
          <w:tcPr>
            <w:tcW w:w="2270" w:type="dxa"/>
            <w:tcBorders>
              <w:top w:val="nil"/>
              <w:left w:val="nil"/>
              <w:bottom w:val="nil"/>
              <w:right w:val="nil"/>
            </w:tcBorders>
            <w:shd w:val="clear" w:color="auto" w:fill="auto"/>
            <w:vAlign w:val="center"/>
            <w:hideMark/>
          </w:tcPr>
          <w:p w14:paraId="663FB197" w14:textId="711BF34A" w:rsidR="00160029" w:rsidRPr="009C0278" w:rsidRDefault="00E463D1"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348CE059" w14:textId="4FD7BF40"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4,433,743.75</w:t>
            </w:r>
          </w:p>
        </w:tc>
      </w:tr>
      <w:tr w:rsidR="00160029" w:rsidRPr="009C0278" w14:paraId="5EBF8903" w14:textId="77777777" w:rsidTr="00160029">
        <w:trPr>
          <w:trHeight w:val="20"/>
        </w:trPr>
        <w:tc>
          <w:tcPr>
            <w:tcW w:w="4960" w:type="dxa"/>
            <w:tcBorders>
              <w:top w:val="nil"/>
              <w:left w:val="nil"/>
              <w:bottom w:val="nil"/>
              <w:right w:val="nil"/>
            </w:tcBorders>
            <w:shd w:val="clear" w:color="auto" w:fill="auto"/>
            <w:noWrap/>
            <w:vAlign w:val="center"/>
            <w:hideMark/>
          </w:tcPr>
          <w:p w14:paraId="3817D7A9"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Otros Bienes Inmuebles</w:t>
            </w:r>
          </w:p>
        </w:tc>
        <w:tc>
          <w:tcPr>
            <w:tcW w:w="2270" w:type="dxa"/>
            <w:tcBorders>
              <w:top w:val="nil"/>
              <w:left w:val="nil"/>
              <w:bottom w:val="nil"/>
              <w:right w:val="nil"/>
            </w:tcBorders>
            <w:shd w:val="clear" w:color="auto" w:fill="auto"/>
            <w:vAlign w:val="center"/>
            <w:hideMark/>
          </w:tcPr>
          <w:p w14:paraId="05B944CA" w14:textId="77777777"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2F90BD6B" w14:textId="40CCC35F"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r>
      <w:tr w:rsidR="00160029" w:rsidRPr="009C0278" w14:paraId="7F102EF1" w14:textId="77777777" w:rsidTr="00160029">
        <w:trPr>
          <w:trHeight w:val="20"/>
        </w:trPr>
        <w:tc>
          <w:tcPr>
            <w:tcW w:w="4960" w:type="dxa"/>
            <w:tcBorders>
              <w:top w:val="nil"/>
              <w:left w:val="nil"/>
              <w:bottom w:val="nil"/>
              <w:right w:val="nil"/>
            </w:tcBorders>
            <w:shd w:val="clear" w:color="auto" w:fill="auto"/>
            <w:noWrap/>
            <w:vAlign w:val="center"/>
            <w:hideMark/>
          </w:tcPr>
          <w:p w14:paraId="74F81B71" w14:textId="77777777" w:rsidR="00160029" w:rsidRPr="009C0278" w:rsidRDefault="00160029" w:rsidP="00160029">
            <w:pPr>
              <w:spacing w:after="0" w:line="240" w:lineRule="auto"/>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Bienes Muebles</w:t>
            </w:r>
          </w:p>
        </w:tc>
        <w:tc>
          <w:tcPr>
            <w:tcW w:w="2270" w:type="dxa"/>
            <w:tcBorders>
              <w:top w:val="nil"/>
              <w:left w:val="nil"/>
              <w:bottom w:val="nil"/>
              <w:right w:val="nil"/>
            </w:tcBorders>
            <w:shd w:val="clear" w:color="auto" w:fill="auto"/>
            <w:vAlign w:val="center"/>
            <w:hideMark/>
          </w:tcPr>
          <w:p w14:paraId="6D41B8B5" w14:textId="2299C8D1" w:rsidR="00160029" w:rsidRPr="009C0278" w:rsidRDefault="009C0278" w:rsidP="00160029">
            <w:pPr>
              <w:spacing w:after="0" w:line="240" w:lineRule="auto"/>
              <w:jc w:val="right"/>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674,979.08</w:t>
            </w:r>
          </w:p>
        </w:tc>
        <w:tc>
          <w:tcPr>
            <w:tcW w:w="2268" w:type="dxa"/>
            <w:tcBorders>
              <w:top w:val="nil"/>
              <w:left w:val="nil"/>
              <w:bottom w:val="nil"/>
              <w:right w:val="nil"/>
            </w:tcBorders>
            <w:shd w:val="clear" w:color="auto" w:fill="auto"/>
            <w:vAlign w:val="center"/>
            <w:hideMark/>
          </w:tcPr>
          <w:p w14:paraId="0D57DEEF" w14:textId="03A39F5A" w:rsidR="00160029" w:rsidRPr="009C0278" w:rsidRDefault="00160029" w:rsidP="00160029">
            <w:pPr>
              <w:spacing w:after="0" w:line="240" w:lineRule="auto"/>
              <w:jc w:val="right"/>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102,676,859.62</w:t>
            </w:r>
          </w:p>
        </w:tc>
      </w:tr>
      <w:tr w:rsidR="00160029" w:rsidRPr="009C0278" w14:paraId="209FFB71" w14:textId="77777777" w:rsidTr="00160029">
        <w:trPr>
          <w:trHeight w:val="20"/>
        </w:trPr>
        <w:tc>
          <w:tcPr>
            <w:tcW w:w="4960" w:type="dxa"/>
            <w:tcBorders>
              <w:top w:val="nil"/>
              <w:left w:val="nil"/>
              <w:bottom w:val="nil"/>
              <w:right w:val="nil"/>
            </w:tcBorders>
            <w:shd w:val="clear" w:color="auto" w:fill="auto"/>
            <w:noWrap/>
            <w:vAlign w:val="center"/>
            <w:hideMark/>
          </w:tcPr>
          <w:p w14:paraId="2AE5D5A1"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Mobiliario y Equipo de Administración</w:t>
            </w:r>
          </w:p>
        </w:tc>
        <w:tc>
          <w:tcPr>
            <w:tcW w:w="2270" w:type="dxa"/>
            <w:tcBorders>
              <w:top w:val="nil"/>
              <w:left w:val="nil"/>
              <w:bottom w:val="nil"/>
              <w:right w:val="nil"/>
            </w:tcBorders>
            <w:shd w:val="clear" w:color="auto" w:fill="auto"/>
            <w:vAlign w:val="center"/>
            <w:hideMark/>
          </w:tcPr>
          <w:p w14:paraId="4E41418D" w14:textId="35F9207F" w:rsidR="00160029" w:rsidRPr="009C0278" w:rsidRDefault="009C0278"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62,538.94</w:t>
            </w:r>
          </w:p>
        </w:tc>
        <w:tc>
          <w:tcPr>
            <w:tcW w:w="2268" w:type="dxa"/>
            <w:tcBorders>
              <w:top w:val="nil"/>
              <w:left w:val="nil"/>
              <w:bottom w:val="nil"/>
              <w:right w:val="nil"/>
            </w:tcBorders>
            <w:shd w:val="clear" w:color="auto" w:fill="auto"/>
            <w:vAlign w:val="center"/>
            <w:hideMark/>
          </w:tcPr>
          <w:p w14:paraId="387CA3AD" w14:textId="21749AEF"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6,820,522.55</w:t>
            </w:r>
          </w:p>
        </w:tc>
      </w:tr>
      <w:tr w:rsidR="00160029" w:rsidRPr="009C0278" w14:paraId="692AFE50" w14:textId="77777777" w:rsidTr="00160029">
        <w:trPr>
          <w:trHeight w:val="20"/>
        </w:trPr>
        <w:tc>
          <w:tcPr>
            <w:tcW w:w="4960" w:type="dxa"/>
            <w:tcBorders>
              <w:top w:val="nil"/>
              <w:left w:val="nil"/>
              <w:bottom w:val="nil"/>
              <w:right w:val="nil"/>
            </w:tcBorders>
            <w:shd w:val="clear" w:color="auto" w:fill="auto"/>
            <w:noWrap/>
            <w:vAlign w:val="center"/>
            <w:hideMark/>
          </w:tcPr>
          <w:p w14:paraId="347DDE7D"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Mobiliario y Equipo Educacional y Recreativo</w:t>
            </w:r>
          </w:p>
        </w:tc>
        <w:tc>
          <w:tcPr>
            <w:tcW w:w="2270" w:type="dxa"/>
            <w:tcBorders>
              <w:top w:val="nil"/>
              <w:left w:val="nil"/>
              <w:bottom w:val="nil"/>
              <w:right w:val="nil"/>
            </w:tcBorders>
            <w:shd w:val="clear" w:color="auto" w:fill="auto"/>
            <w:vAlign w:val="center"/>
            <w:hideMark/>
          </w:tcPr>
          <w:p w14:paraId="5BCD4357" w14:textId="34E6C952" w:rsidR="00160029" w:rsidRPr="009C0278" w:rsidRDefault="009C0278"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9,040.46</w:t>
            </w:r>
          </w:p>
        </w:tc>
        <w:tc>
          <w:tcPr>
            <w:tcW w:w="2268" w:type="dxa"/>
            <w:tcBorders>
              <w:top w:val="nil"/>
              <w:left w:val="nil"/>
              <w:bottom w:val="nil"/>
              <w:right w:val="nil"/>
            </w:tcBorders>
            <w:shd w:val="clear" w:color="auto" w:fill="auto"/>
            <w:vAlign w:val="center"/>
            <w:hideMark/>
          </w:tcPr>
          <w:p w14:paraId="6C9D49F4" w14:textId="6F38FD86"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2,339,119.70</w:t>
            </w:r>
          </w:p>
        </w:tc>
      </w:tr>
      <w:tr w:rsidR="00160029" w:rsidRPr="009C0278" w14:paraId="1B4F3275" w14:textId="77777777" w:rsidTr="00160029">
        <w:trPr>
          <w:trHeight w:val="20"/>
        </w:trPr>
        <w:tc>
          <w:tcPr>
            <w:tcW w:w="4960" w:type="dxa"/>
            <w:tcBorders>
              <w:top w:val="nil"/>
              <w:left w:val="nil"/>
              <w:bottom w:val="nil"/>
              <w:right w:val="nil"/>
            </w:tcBorders>
            <w:shd w:val="clear" w:color="auto" w:fill="auto"/>
            <w:noWrap/>
            <w:vAlign w:val="center"/>
            <w:hideMark/>
          </w:tcPr>
          <w:p w14:paraId="316B39D3"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Equipo e Instrumental Médico y de Laboratorio</w:t>
            </w:r>
          </w:p>
        </w:tc>
        <w:tc>
          <w:tcPr>
            <w:tcW w:w="2270" w:type="dxa"/>
            <w:tcBorders>
              <w:top w:val="nil"/>
              <w:left w:val="nil"/>
              <w:bottom w:val="nil"/>
              <w:right w:val="nil"/>
            </w:tcBorders>
            <w:shd w:val="clear" w:color="auto" w:fill="auto"/>
            <w:vAlign w:val="center"/>
            <w:hideMark/>
          </w:tcPr>
          <w:p w14:paraId="799629AB" w14:textId="77777777"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10C9730B" w14:textId="04294D1A"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r>
      <w:tr w:rsidR="00160029" w:rsidRPr="009C0278" w14:paraId="1C68690B" w14:textId="77777777" w:rsidTr="00160029">
        <w:trPr>
          <w:trHeight w:val="20"/>
        </w:trPr>
        <w:tc>
          <w:tcPr>
            <w:tcW w:w="4960" w:type="dxa"/>
            <w:tcBorders>
              <w:top w:val="nil"/>
              <w:left w:val="nil"/>
              <w:bottom w:val="nil"/>
              <w:right w:val="nil"/>
            </w:tcBorders>
            <w:shd w:val="clear" w:color="auto" w:fill="auto"/>
            <w:noWrap/>
            <w:vAlign w:val="center"/>
            <w:hideMark/>
          </w:tcPr>
          <w:p w14:paraId="484F7497"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Vehículos y Equipo de Transporte</w:t>
            </w:r>
          </w:p>
        </w:tc>
        <w:tc>
          <w:tcPr>
            <w:tcW w:w="2270" w:type="dxa"/>
            <w:tcBorders>
              <w:top w:val="nil"/>
              <w:left w:val="nil"/>
              <w:bottom w:val="nil"/>
              <w:right w:val="nil"/>
            </w:tcBorders>
            <w:shd w:val="clear" w:color="auto" w:fill="auto"/>
            <w:vAlign w:val="center"/>
            <w:hideMark/>
          </w:tcPr>
          <w:p w14:paraId="2B38A6A3" w14:textId="2EBD9BB3" w:rsidR="00160029" w:rsidRPr="009C0278" w:rsidRDefault="009C0278"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507,267.00</w:t>
            </w:r>
          </w:p>
        </w:tc>
        <w:tc>
          <w:tcPr>
            <w:tcW w:w="2268" w:type="dxa"/>
            <w:tcBorders>
              <w:top w:val="nil"/>
              <w:left w:val="nil"/>
              <w:bottom w:val="nil"/>
              <w:right w:val="nil"/>
            </w:tcBorders>
            <w:shd w:val="clear" w:color="auto" w:fill="auto"/>
            <w:vAlign w:val="center"/>
            <w:hideMark/>
          </w:tcPr>
          <w:p w14:paraId="375D96A1" w14:textId="199578DC"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8,625,101.16</w:t>
            </w:r>
          </w:p>
        </w:tc>
      </w:tr>
      <w:tr w:rsidR="00160029" w:rsidRPr="009C0278" w14:paraId="265F97E0" w14:textId="77777777" w:rsidTr="00160029">
        <w:trPr>
          <w:trHeight w:val="20"/>
        </w:trPr>
        <w:tc>
          <w:tcPr>
            <w:tcW w:w="4960" w:type="dxa"/>
            <w:tcBorders>
              <w:top w:val="nil"/>
              <w:left w:val="nil"/>
              <w:bottom w:val="nil"/>
              <w:right w:val="nil"/>
            </w:tcBorders>
            <w:shd w:val="clear" w:color="auto" w:fill="auto"/>
            <w:noWrap/>
            <w:vAlign w:val="center"/>
            <w:hideMark/>
          </w:tcPr>
          <w:p w14:paraId="6C929A91"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Equipo de Defensa y Seguridad</w:t>
            </w:r>
          </w:p>
        </w:tc>
        <w:tc>
          <w:tcPr>
            <w:tcW w:w="2270" w:type="dxa"/>
            <w:tcBorders>
              <w:top w:val="nil"/>
              <w:left w:val="nil"/>
              <w:bottom w:val="nil"/>
              <w:right w:val="nil"/>
            </w:tcBorders>
            <w:shd w:val="clear" w:color="auto" w:fill="auto"/>
            <w:vAlign w:val="center"/>
            <w:hideMark/>
          </w:tcPr>
          <w:p w14:paraId="4F40A922" w14:textId="77777777"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7EA54BF3" w14:textId="3D9A889A"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r>
      <w:tr w:rsidR="00160029" w:rsidRPr="009C0278" w14:paraId="50D87567" w14:textId="77777777" w:rsidTr="00160029">
        <w:trPr>
          <w:trHeight w:val="20"/>
        </w:trPr>
        <w:tc>
          <w:tcPr>
            <w:tcW w:w="4960" w:type="dxa"/>
            <w:tcBorders>
              <w:top w:val="nil"/>
              <w:left w:val="nil"/>
              <w:bottom w:val="nil"/>
              <w:right w:val="nil"/>
            </w:tcBorders>
            <w:shd w:val="clear" w:color="auto" w:fill="auto"/>
            <w:noWrap/>
            <w:vAlign w:val="center"/>
            <w:hideMark/>
          </w:tcPr>
          <w:p w14:paraId="3C5223BF"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Maquinaria, Otros Equipos y Herramientas</w:t>
            </w:r>
          </w:p>
        </w:tc>
        <w:tc>
          <w:tcPr>
            <w:tcW w:w="2270" w:type="dxa"/>
            <w:tcBorders>
              <w:top w:val="nil"/>
              <w:left w:val="nil"/>
              <w:bottom w:val="nil"/>
              <w:right w:val="nil"/>
            </w:tcBorders>
            <w:shd w:val="clear" w:color="auto" w:fill="auto"/>
            <w:vAlign w:val="center"/>
            <w:hideMark/>
          </w:tcPr>
          <w:p w14:paraId="36323925" w14:textId="2B6C39C9" w:rsidR="00160029" w:rsidRPr="009C0278" w:rsidRDefault="009C0278"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96,132.68</w:t>
            </w:r>
          </w:p>
        </w:tc>
        <w:tc>
          <w:tcPr>
            <w:tcW w:w="2268" w:type="dxa"/>
            <w:tcBorders>
              <w:top w:val="nil"/>
              <w:left w:val="nil"/>
              <w:bottom w:val="nil"/>
              <w:right w:val="nil"/>
            </w:tcBorders>
            <w:shd w:val="clear" w:color="auto" w:fill="auto"/>
            <w:vAlign w:val="center"/>
            <w:hideMark/>
          </w:tcPr>
          <w:p w14:paraId="3FC7035A" w14:textId="3825DD13"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84,892,116.21</w:t>
            </w:r>
          </w:p>
        </w:tc>
      </w:tr>
      <w:tr w:rsidR="00160029" w:rsidRPr="009C0278" w14:paraId="3AB0304A" w14:textId="77777777" w:rsidTr="00160029">
        <w:trPr>
          <w:trHeight w:val="20"/>
        </w:trPr>
        <w:tc>
          <w:tcPr>
            <w:tcW w:w="4960" w:type="dxa"/>
            <w:tcBorders>
              <w:top w:val="nil"/>
              <w:left w:val="nil"/>
              <w:bottom w:val="nil"/>
              <w:right w:val="nil"/>
            </w:tcBorders>
            <w:shd w:val="clear" w:color="auto" w:fill="auto"/>
            <w:noWrap/>
            <w:vAlign w:val="center"/>
            <w:hideMark/>
          </w:tcPr>
          <w:p w14:paraId="1B1CC4DD"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Colecciones, Obras de Arte y Objetos Valiosos</w:t>
            </w:r>
          </w:p>
        </w:tc>
        <w:tc>
          <w:tcPr>
            <w:tcW w:w="2270" w:type="dxa"/>
            <w:tcBorders>
              <w:top w:val="nil"/>
              <w:left w:val="nil"/>
              <w:bottom w:val="nil"/>
              <w:right w:val="nil"/>
            </w:tcBorders>
            <w:shd w:val="clear" w:color="auto" w:fill="auto"/>
            <w:vAlign w:val="center"/>
            <w:hideMark/>
          </w:tcPr>
          <w:p w14:paraId="39B920F6" w14:textId="77777777"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0E324C92" w14:textId="2DFC1E6D"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r>
      <w:tr w:rsidR="00160029" w:rsidRPr="009C0278" w14:paraId="0C4E806F" w14:textId="77777777" w:rsidTr="00160029">
        <w:trPr>
          <w:trHeight w:val="20"/>
        </w:trPr>
        <w:tc>
          <w:tcPr>
            <w:tcW w:w="4960" w:type="dxa"/>
            <w:tcBorders>
              <w:top w:val="nil"/>
              <w:left w:val="nil"/>
              <w:bottom w:val="nil"/>
              <w:right w:val="nil"/>
            </w:tcBorders>
            <w:shd w:val="clear" w:color="auto" w:fill="auto"/>
            <w:noWrap/>
            <w:vAlign w:val="center"/>
            <w:hideMark/>
          </w:tcPr>
          <w:p w14:paraId="14396A04" w14:textId="77777777" w:rsidR="00160029" w:rsidRPr="009C0278" w:rsidRDefault="00160029" w:rsidP="00160029">
            <w:pPr>
              <w:spacing w:after="0" w:line="240" w:lineRule="auto"/>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Activos Biológicos</w:t>
            </w:r>
          </w:p>
        </w:tc>
        <w:tc>
          <w:tcPr>
            <w:tcW w:w="2270" w:type="dxa"/>
            <w:tcBorders>
              <w:top w:val="nil"/>
              <w:left w:val="nil"/>
              <w:bottom w:val="nil"/>
              <w:right w:val="nil"/>
            </w:tcBorders>
            <w:shd w:val="clear" w:color="auto" w:fill="auto"/>
            <w:vAlign w:val="center"/>
            <w:hideMark/>
          </w:tcPr>
          <w:p w14:paraId="79A4DAD7" w14:textId="77777777"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shd w:val="clear" w:color="auto" w:fill="auto"/>
            <w:vAlign w:val="center"/>
            <w:hideMark/>
          </w:tcPr>
          <w:p w14:paraId="446C5D92" w14:textId="65E59CB9" w:rsidR="00160029" w:rsidRPr="009C0278" w:rsidRDefault="00160029" w:rsidP="00160029">
            <w:pPr>
              <w:spacing w:after="0" w:line="240" w:lineRule="auto"/>
              <w:jc w:val="right"/>
              <w:rPr>
                <w:rFonts w:ascii="Arial" w:eastAsia="Times New Roman" w:hAnsi="Arial" w:cs="Arial"/>
                <w:color w:val="000000"/>
                <w:kern w:val="0"/>
                <w:sz w:val="20"/>
                <w:szCs w:val="20"/>
                <w:lang w:eastAsia="es-MX"/>
                <w14:ligatures w14:val="none"/>
              </w:rPr>
            </w:pPr>
            <w:r w:rsidRPr="009C0278">
              <w:rPr>
                <w:rFonts w:ascii="Arial" w:eastAsia="Times New Roman" w:hAnsi="Arial" w:cs="Arial"/>
                <w:color w:val="000000"/>
                <w:kern w:val="0"/>
                <w:sz w:val="20"/>
                <w:szCs w:val="20"/>
                <w:lang w:eastAsia="es-MX"/>
                <w14:ligatures w14:val="none"/>
              </w:rPr>
              <w:t>0.00</w:t>
            </w:r>
          </w:p>
        </w:tc>
      </w:tr>
      <w:tr w:rsidR="00160029" w:rsidRPr="009C0278" w14:paraId="1736CD91" w14:textId="77777777" w:rsidTr="00160029">
        <w:trPr>
          <w:trHeight w:val="20"/>
        </w:trPr>
        <w:tc>
          <w:tcPr>
            <w:tcW w:w="4960" w:type="dxa"/>
            <w:tcBorders>
              <w:top w:val="nil"/>
              <w:left w:val="nil"/>
              <w:bottom w:val="nil"/>
              <w:right w:val="nil"/>
            </w:tcBorders>
            <w:shd w:val="clear" w:color="auto" w:fill="auto"/>
            <w:noWrap/>
            <w:vAlign w:val="center"/>
            <w:hideMark/>
          </w:tcPr>
          <w:p w14:paraId="3AA1E65C" w14:textId="77777777" w:rsidR="00160029" w:rsidRPr="009C0278" w:rsidRDefault="00160029" w:rsidP="00160029">
            <w:pPr>
              <w:spacing w:after="0" w:line="240" w:lineRule="auto"/>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Otras Inversiones</w:t>
            </w:r>
          </w:p>
        </w:tc>
        <w:tc>
          <w:tcPr>
            <w:tcW w:w="2270" w:type="dxa"/>
            <w:tcBorders>
              <w:top w:val="nil"/>
              <w:left w:val="nil"/>
              <w:bottom w:val="nil"/>
              <w:right w:val="nil"/>
            </w:tcBorders>
            <w:shd w:val="clear" w:color="auto" w:fill="auto"/>
            <w:vAlign w:val="center"/>
            <w:hideMark/>
          </w:tcPr>
          <w:p w14:paraId="700F2E90" w14:textId="79AB02C3" w:rsidR="00160029" w:rsidRPr="009C0278" w:rsidRDefault="009C0278" w:rsidP="00160029">
            <w:pPr>
              <w:spacing w:after="0" w:line="240" w:lineRule="auto"/>
              <w:jc w:val="right"/>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35,097.54</w:t>
            </w:r>
          </w:p>
        </w:tc>
        <w:tc>
          <w:tcPr>
            <w:tcW w:w="2268" w:type="dxa"/>
            <w:tcBorders>
              <w:top w:val="nil"/>
              <w:left w:val="nil"/>
              <w:bottom w:val="nil"/>
              <w:right w:val="nil"/>
            </w:tcBorders>
            <w:shd w:val="clear" w:color="auto" w:fill="auto"/>
            <w:vAlign w:val="center"/>
            <w:hideMark/>
          </w:tcPr>
          <w:p w14:paraId="117A2DAC" w14:textId="6C1C5279" w:rsidR="00160029" w:rsidRPr="009C0278" w:rsidRDefault="00160029" w:rsidP="00160029">
            <w:pPr>
              <w:spacing w:after="0" w:line="240" w:lineRule="auto"/>
              <w:jc w:val="right"/>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16,961,645.47</w:t>
            </w:r>
          </w:p>
        </w:tc>
      </w:tr>
      <w:tr w:rsidR="00160029" w:rsidRPr="005732FC" w14:paraId="2F7AF0F8" w14:textId="77777777" w:rsidTr="00160029">
        <w:trPr>
          <w:trHeight w:val="20"/>
        </w:trPr>
        <w:tc>
          <w:tcPr>
            <w:tcW w:w="4960" w:type="dxa"/>
            <w:tcBorders>
              <w:top w:val="single" w:sz="8" w:space="0" w:color="auto"/>
              <w:left w:val="nil"/>
              <w:bottom w:val="single" w:sz="8" w:space="0" w:color="auto"/>
              <w:right w:val="nil"/>
            </w:tcBorders>
            <w:shd w:val="clear" w:color="000000" w:fill="D9D9D9"/>
            <w:noWrap/>
            <w:vAlign w:val="center"/>
            <w:hideMark/>
          </w:tcPr>
          <w:p w14:paraId="2C79025A" w14:textId="77777777" w:rsidR="00160029" w:rsidRPr="009C0278" w:rsidRDefault="00160029" w:rsidP="00160029">
            <w:pPr>
              <w:spacing w:after="0" w:line="240" w:lineRule="auto"/>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Total</w:t>
            </w:r>
          </w:p>
        </w:tc>
        <w:tc>
          <w:tcPr>
            <w:tcW w:w="2270" w:type="dxa"/>
            <w:tcBorders>
              <w:top w:val="single" w:sz="8" w:space="0" w:color="auto"/>
              <w:left w:val="nil"/>
              <w:bottom w:val="single" w:sz="8" w:space="0" w:color="auto"/>
              <w:right w:val="nil"/>
            </w:tcBorders>
            <w:shd w:val="clear" w:color="000000" w:fill="D9D9D9"/>
            <w:vAlign w:val="center"/>
            <w:hideMark/>
          </w:tcPr>
          <w:p w14:paraId="395C05E5" w14:textId="32F922D5" w:rsidR="00160029" w:rsidRPr="009C0278" w:rsidRDefault="009C0278" w:rsidP="00160029">
            <w:pPr>
              <w:spacing w:after="0" w:line="240" w:lineRule="auto"/>
              <w:jc w:val="right"/>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710,076.62</w:t>
            </w:r>
          </w:p>
        </w:tc>
        <w:tc>
          <w:tcPr>
            <w:tcW w:w="2268" w:type="dxa"/>
            <w:tcBorders>
              <w:top w:val="single" w:sz="8" w:space="0" w:color="auto"/>
              <w:left w:val="nil"/>
              <w:bottom w:val="single" w:sz="8" w:space="0" w:color="auto"/>
              <w:right w:val="nil"/>
            </w:tcBorders>
            <w:shd w:val="clear" w:color="000000" w:fill="D9D9D9"/>
            <w:vAlign w:val="center"/>
            <w:hideMark/>
          </w:tcPr>
          <w:p w14:paraId="1A5AFBCF" w14:textId="09469FE9" w:rsidR="00160029" w:rsidRPr="005732FC" w:rsidRDefault="00160029" w:rsidP="00160029">
            <w:pPr>
              <w:spacing w:after="0" w:line="240" w:lineRule="auto"/>
              <w:jc w:val="right"/>
              <w:rPr>
                <w:rFonts w:ascii="Arial" w:eastAsia="Times New Roman" w:hAnsi="Arial" w:cs="Arial"/>
                <w:b/>
                <w:bCs/>
                <w:color w:val="000000"/>
                <w:kern w:val="0"/>
                <w:sz w:val="20"/>
                <w:szCs w:val="20"/>
                <w:lang w:eastAsia="es-MX"/>
                <w14:ligatures w14:val="none"/>
              </w:rPr>
            </w:pPr>
            <w:r w:rsidRPr="009C0278">
              <w:rPr>
                <w:rFonts w:ascii="Arial" w:eastAsia="Times New Roman" w:hAnsi="Arial" w:cs="Arial"/>
                <w:b/>
                <w:bCs/>
                <w:color w:val="000000"/>
                <w:kern w:val="0"/>
                <w:sz w:val="20"/>
                <w:szCs w:val="20"/>
                <w:lang w:eastAsia="es-MX"/>
                <w14:ligatures w14:val="none"/>
              </w:rPr>
              <w:t>437,231,550.29</w:t>
            </w:r>
          </w:p>
        </w:tc>
      </w:tr>
    </w:tbl>
    <w:p w14:paraId="728DFAA7" w14:textId="1EE52213" w:rsidR="00BA3347" w:rsidRPr="005732FC" w:rsidRDefault="00BA3347" w:rsidP="005D1D33">
      <w:pPr>
        <w:spacing w:after="0"/>
        <w:jc w:val="both"/>
        <w:rPr>
          <w:rFonts w:ascii="Arial" w:hAnsi="Arial" w:cs="Arial"/>
          <w:sz w:val="20"/>
          <w:szCs w:val="20"/>
        </w:rPr>
      </w:pPr>
    </w:p>
    <w:p w14:paraId="6518C78E" w14:textId="77777777" w:rsidR="003C5317" w:rsidRPr="005732FC" w:rsidRDefault="003C5317" w:rsidP="003C5317">
      <w:pPr>
        <w:spacing w:after="0"/>
        <w:jc w:val="both"/>
        <w:rPr>
          <w:rFonts w:ascii="Arial" w:hAnsi="Arial" w:cs="Arial"/>
          <w:sz w:val="20"/>
          <w:szCs w:val="20"/>
        </w:rPr>
      </w:pPr>
      <w:r w:rsidRPr="005732FC">
        <w:rPr>
          <w:rFonts w:ascii="Arial" w:hAnsi="Arial" w:cs="Arial"/>
          <w:sz w:val="20"/>
          <w:szCs w:val="20"/>
        </w:rPr>
        <w:t>De igual forma se presenta a continuación la conciliación de los Flujos de Efectivo Netos de las Actividades de Operación y el saldo de resultados del ejercicio (Ahorro/Desahorro).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2AC720C" w14:textId="77777777" w:rsidR="003C5317" w:rsidRPr="005732FC" w:rsidRDefault="003C5317" w:rsidP="003C5317">
      <w:pPr>
        <w:spacing w:after="0"/>
        <w:jc w:val="both"/>
        <w:rPr>
          <w:rFonts w:ascii="Arial" w:hAnsi="Arial" w:cs="Arial"/>
          <w:sz w:val="20"/>
          <w:szCs w:val="20"/>
        </w:rPr>
      </w:pPr>
    </w:p>
    <w:tbl>
      <w:tblPr>
        <w:tblW w:w="8505" w:type="dxa"/>
        <w:tblCellMar>
          <w:left w:w="70" w:type="dxa"/>
          <w:right w:w="70" w:type="dxa"/>
        </w:tblCellMar>
        <w:tblLook w:val="04A0" w:firstRow="1" w:lastRow="0" w:firstColumn="1" w:lastColumn="0" w:noHBand="0" w:noVBand="1"/>
      </w:tblPr>
      <w:tblGrid>
        <w:gridCol w:w="4226"/>
        <w:gridCol w:w="2011"/>
        <w:gridCol w:w="2268"/>
      </w:tblGrid>
      <w:tr w:rsidR="003C5317" w:rsidRPr="005732FC" w14:paraId="1F6A3FA9" w14:textId="77777777" w:rsidTr="005B6C7F">
        <w:trPr>
          <w:trHeight w:val="20"/>
          <w:tblHeader/>
        </w:trPr>
        <w:tc>
          <w:tcPr>
            <w:tcW w:w="4226" w:type="dxa"/>
            <w:tcBorders>
              <w:top w:val="single" w:sz="8" w:space="0" w:color="auto"/>
              <w:left w:val="nil"/>
              <w:bottom w:val="single" w:sz="8" w:space="0" w:color="auto"/>
              <w:right w:val="nil"/>
            </w:tcBorders>
            <w:shd w:val="clear" w:color="000000" w:fill="BFBFBF"/>
            <w:vAlign w:val="center"/>
            <w:hideMark/>
          </w:tcPr>
          <w:p w14:paraId="2C9FF992" w14:textId="77777777" w:rsidR="003C5317" w:rsidRPr="005732FC" w:rsidRDefault="003C5317" w:rsidP="005B6C7F">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2011" w:type="dxa"/>
            <w:tcBorders>
              <w:top w:val="single" w:sz="8" w:space="0" w:color="auto"/>
              <w:left w:val="nil"/>
              <w:bottom w:val="single" w:sz="8" w:space="0" w:color="auto"/>
              <w:right w:val="nil"/>
            </w:tcBorders>
            <w:shd w:val="clear" w:color="000000" w:fill="BFBFBF"/>
            <w:vAlign w:val="center"/>
            <w:hideMark/>
          </w:tcPr>
          <w:p w14:paraId="10362D43" w14:textId="7768EC8D" w:rsidR="003C5317" w:rsidRPr="005732FC" w:rsidRDefault="003C5317" w:rsidP="005B6C7F">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w:t>
            </w:r>
            <w:r w:rsidR="00A20367" w:rsidRPr="005732FC">
              <w:rPr>
                <w:rFonts w:ascii="Arial" w:eastAsia="Times New Roman" w:hAnsi="Arial" w:cs="Arial"/>
                <w:b/>
                <w:bCs/>
                <w:color w:val="000000"/>
                <w:kern w:val="0"/>
                <w:sz w:val="20"/>
                <w:szCs w:val="20"/>
                <w:lang w:eastAsia="es-MX"/>
                <w14:ligatures w14:val="none"/>
              </w:rPr>
              <w:t>0</w:t>
            </w:r>
            <w:r w:rsidRPr="005732FC">
              <w:rPr>
                <w:rFonts w:ascii="Arial" w:eastAsia="Times New Roman" w:hAnsi="Arial" w:cs="Arial"/>
                <w:b/>
                <w:bCs/>
                <w:color w:val="000000"/>
                <w:kern w:val="0"/>
                <w:sz w:val="20"/>
                <w:szCs w:val="20"/>
                <w:lang w:eastAsia="es-MX"/>
                <w14:ligatures w14:val="none"/>
              </w:rPr>
              <w:t xml:space="preserve"> de </w:t>
            </w:r>
            <w:r w:rsidR="00A20367" w:rsidRPr="005732FC">
              <w:rPr>
                <w:rFonts w:ascii="Arial" w:eastAsia="Times New Roman" w:hAnsi="Arial" w:cs="Arial"/>
                <w:b/>
                <w:bCs/>
                <w:color w:val="000000"/>
                <w:kern w:val="0"/>
                <w:sz w:val="20"/>
                <w:szCs w:val="20"/>
                <w:lang w:eastAsia="es-MX"/>
                <w14:ligatures w14:val="none"/>
              </w:rPr>
              <w:t>junio</w:t>
            </w:r>
            <w:r w:rsidRPr="005732FC">
              <w:rPr>
                <w:rFonts w:ascii="Arial" w:eastAsia="Times New Roman" w:hAnsi="Arial" w:cs="Arial"/>
                <w:b/>
                <w:bCs/>
                <w:color w:val="000000"/>
                <w:kern w:val="0"/>
                <w:sz w:val="20"/>
                <w:szCs w:val="20"/>
                <w:lang w:eastAsia="es-MX"/>
                <w14:ligatures w14:val="none"/>
              </w:rPr>
              <w:t xml:space="preserve"> 2025</w:t>
            </w:r>
          </w:p>
        </w:tc>
        <w:tc>
          <w:tcPr>
            <w:tcW w:w="2268" w:type="dxa"/>
            <w:tcBorders>
              <w:top w:val="single" w:sz="8" w:space="0" w:color="auto"/>
              <w:left w:val="nil"/>
              <w:bottom w:val="single" w:sz="8" w:space="0" w:color="auto"/>
              <w:right w:val="nil"/>
            </w:tcBorders>
            <w:shd w:val="clear" w:color="000000" w:fill="BFBFBF"/>
            <w:vAlign w:val="center"/>
          </w:tcPr>
          <w:p w14:paraId="097317F1" w14:textId="77777777" w:rsidR="003C5317" w:rsidRPr="005732FC" w:rsidRDefault="003C5317" w:rsidP="005B6C7F">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31 de diciembre 2024</w:t>
            </w:r>
          </w:p>
        </w:tc>
      </w:tr>
      <w:tr w:rsidR="003C5317" w:rsidRPr="005732FC" w14:paraId="72B57C16" w14:textId="77777777" w:rsidTr="005B6C7F">
        <w:trPr>
          <w:trHeight w:val="20"/>
        </w:trPr>
        <w:tc>
          <w:tcPr>
            <w:tcW w:w="4226" w:type="dxa"/>
            <w:tcBorders>
              <w:top w:val="nil"/>
              <w:left w:val="nil"/>
              <w:bottom w:val="nil"/>
              <w:right w:val="nil"/>
            </w:tcBorders>
            <w:shd w:val="clear" w:color="auto" w:fill="auto"/>
            <w:vAlign w:val="center"/>
            <w:hideMark/>
          </w:tcPr>
          <w:p w14:paraId="4A18F855" w14:textId="77777777" w:rsidR="003C5317" w:rsidRPr="005732FC" w:rsidRDefault="003C5317" w:rsidP="005B6C7F">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Resultado del Ejercicio Ahorro/Desahorro</w:t>
            </w:r>
          </w:p>
        </w:tc>
        <w:tc>
          <w:tcPr>
            <w:tcW w:w="2011" w:type="dxa"/>
            <w:tcBorders>
              <w:top w:val="nil"/>
              <w:left w:val="nil"/>
              <w:bottom w:val="nil"/>
              <w:right w:val="nil"/>
            </w:tcBorders>
            <w:shd w:val="clear" w:color="auto" w:fill="auto"/>
            <w:noWrap/>
            <w:vAlign w:val="center"/>
            <w:hideMark/>
          </w:tcPr>
          <w:p w14:paraId="3AFBA8B9" w14:textId="17855611" w:rsidR="003C5317" w:rsidRPr="005732FC" w:rsidRDefault="002D218A" w:rsidP="005B6C7F">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1,252,086,192.01</w:t>
            </w:r>
          </w:p>
        </w:tc>
        <w:tc>
          <w:tcPr>
            <w:tcW w:w="2268" w:type="dxa"/>
            <w:tcBorders>
              <w:top w:val="nil"/>
              <w:left w:val="nil"/>
              <w:bottom w:val="nil"/>
              <w:right w:val="nil"/>
            </w:tcBorders>
            <w:vAlign w:val="center"/>
          </w:tcPr>
          <w:p w14:paraId="6384A4DC" w14:textId="77777777" w:rsidR="003C5317" w:rsidRPr="005732FC" w:rsidRDefault="003C5317" w:rsidP="005B6C7F">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1,101,922,543.27</w:t>
            </w:r>
          </w:p>
        </w:tc>
      </w:tr>
      <w:tr w:rsidR="003C5317" w:rsidRPr="005732FC" w14:paraId="5B788C02" w14:textId="77777777" w:rsidTr="005B6C7F">
        <w:trPr>
          <w:trHeight w:val="20"/>
        </w:trPr>
        <w:tc>
          <w:tcPr>
            <w:tcW w:w="4226" w:type="dxa"/>
            <w:tcBorders>
              <w:top w:val="nil"/>
              <w:left w:val="nil"/>
              <w:bottom w:val="nil"/>
              <w:right w:val="nil"/>
            </w:tcBorders>
            <w:shd w:val="clear" w:color="auto" w:fill="auto"/>
            <w:vAlign w:val="center"/>
            <w:hideMark/>
          </w:tcPr>
          <w:p w14:paraId="376654F9" w14:textId="77777777" w:rsidR="003C5317" w:rsidRPr="005732FC"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Más movimientos en partidas (o rubros) que no afectan al efectivo</w:t>
            </w:r>
          </w:p>
        </w:tc>
        <w:tc>
          <w:tcPr>
            <w:tcW w:w="2011" w:type="dxa"/>
            <w:tcBorders>
              <w:top w:val="nil"/>
              <w:left w:val="nil"/>
              <w:bottom w:val="nil"/>
              <w:right w:val="nil"/>
            </w:tcBorders>
            <w:shd w:val="clear" w:color="auto" w:fill="auto"/>
            <w:noWrap/>
            <w:vAlign w:val="center"/>
            <w:hideMark/>
          </w:tcPr>
          <w:p w14:paraId="6BD6AD65" w14:textId="26811EDB" w:rsidR="003C5317" w:rsidRPr="005732FC" w:rsidRDefault="002D218A" w:rsidP="005B6C7F">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48,487,876.36</w:t>
            </w:r>
          </w:p>
        </w:tc>
        <w:tc>
          <w:tcPr>
            <w:tcW w:w="2268" w:type="dxa"/>
            <w:tcBorders>
              <w:top w:val="nil"/>
              <w:left w:val="nil"/>
              <w:bottom w:val="nil"/>
              <w:right w:val="nil"/>
            </w:tcBorders>
            <w:vAlign w:val="center"/>
          </w:tcPr>
          <w:p w14:paraId="25C6ECD6" w14:textId="77777777" w:rsidR="003C5317" w:rsidRPr="005732FC" w:rsidRDefault="003C5317" w:rsidP="005B6C7F">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96,492,294.64</w:t>
            </w:r>
          </w:p>
        </w:tc>
      </w:tr>
      <w:tr w:rsidR="003C5317" w:rsidRPr="005732FC" w14:paraId="072C7A8E" w14:textId="77777777" w:rsidTr="005B6C7F">
        <w:trPr>
          <w:trHeight w:val="20"/>
        </w:trPr>
        <w:tc>
          <w:tcPr>
            <w:tcW w:w="4226" w:type="dxa"/>
            <w:tcBorders>
              <w:top w:val="nil"/>
              <w:left w:val="nil"/>
              <w:bottom w:val="nil"/>
              <w:right w:val="nil"/>
            </w:tcBorders>
            <w:shd w:val="clear" w:color="auto" w:fill="auto"/>
            <w:vAlign w:val="center"/>
            <w:hideMark/>
          </w:tcPr>
          <w:p w14:paraId="3AA00065" w14:textId="77777777" w:rsidR="003C5317" w:rsidRPr="005732FC" w:rsidRDefault="003C5317" w:rsidP="005B6C7F">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Depreciación</w:t>
            </w:r>
          </w:p>
        </w:tc>
        <w:tc>
          <w:tcPr>
            <w:tcW w:w="2011" w:type="dxa"/>
            <w:tcBorders>
              <w:top w:val="nil"/>
              <w:left w:val="nil"/>
              <w:bottom w:val="nil"/>
              <w:right w:val="nil"/>
            </w:tcBorders>
            <w:shd w:val="clear" w:color="auto" w:fill="auto"/>
            <w:noWrap/>
            <w:hideMark/>
          </w:tcPr>
          <w:p w14:paraId="273BEA1A" w14:textId="31076C8A" w:rsidR="003C5317" w:rsidRPr="005732FC" w:rsidRDefault="002D218A"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46,001,754.45</w:t>
            </w:r>
          </w:p>
        </w:tc>
        <w:tc>
          <w:tcPr>
            <w:tcW w:w="2268" w:type="dxa"/>
            <w:tcBorders>
              <w:top w:val="nil"/>
              <w:left w:val="nil"/>
              <w:bottom w:val="nil"/>
              <w:right w:val="nil"/>
            </w:tcBorders>
          </w:tcPr>
          <w:p w14:paraId="40909EE4" w14:textId="77777777" w:rsidR="003C5317" w:rsidRPr="005732FC"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93,224,412.76</w:t>
            </w:r>
          </w:p>
        </w:tc>
      </w:tr>
      <w:tr w:rsidR="003C5317" w:rsidRPr="005732FC" w14:paraId="0A948B89" w14:textId="77777777" w:rsidTr="005B6C7F">
        <w:trPr>
          <w:trHeight w:val="20"/>
        </w:trPr>
        <w:tc>
          <w:tcPr>
            <w:tcW w:w="4226" w:type="dxa"/>
            <w:tcBorders>
              <w:top w:val="nil"/>
              <w:left w:val="nil"/>
              <w:bottom w:val="nil"/>
              <w:right w:val="nil"/>
            </w:tcBorders>
            <w:shd w:val="clear" w:color="auto" w:fill="auto"/>
            <w:vAlign w:val="center"/>
            <w:hideMark/>
          </w:tcPr>
          <w:p w14:paraId="50665860" w14:textId="77777777" w:rsidR="003C5317" w:rsidRPr="005732FC" w:rsidRDefault="003C5317" w:rsidP="005B6C7F">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Amortización</w:t>
            </w:r>
          </w:p>
        </w:tc>
        <w:tc>
          <w:tcPr>
            <w:tcW w:w="2011" w:type="dxa"/>
            <w:tcBorders>
              <w:top w:val="nil"/>
              <w:left w:val="nil"/>
              <w:bottom w:val="nil"/>
              <w:right w:val="nil"/>
            </w:tcBorders>
            <w:shd w:val="clear" w:color="auto" w:fill="auto"/>
            <w:hideMark/>
          </w:tcPr>
          <w:p w14:paraId="01593CF6" w14:textId="73148EF8" w:rsidR="003C5317" w:rsidRPr="005732FC" w:rsidRDefault="002D218A"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2,486,121.91</w:t>
            </w:r>
          </w:p>
        </w:tc>
        <w:tc>
          <w:tcPr>
            <w:tcW w:w="2268" w:type="dxa"/>
            <w:tcBorders>
              <w:top w:val="nil"/>
              <w:left w:val="nil"/>
              <w:bottom w:val="nil"/>
              <w:right w:val="nil"/>
            </w:tcBorders>
          </w:tcPr>
          <w:p w14:paraId="578453ED" w14:textId="77777777" w:rsidR="003C5317" w:rsidRPr="005732FC"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3,267,881.88</w:t>
            </w:r>
          </w:p>
        </w:tc>
      </w:tr>
      <w:tr w:rsidR="003C5317" w:rsidRPr="005732FC" w14:paraId="5AFD1DDF" w14:textId="77777777" w:rsidTr="005B6C7F">
        <w:trPr>
          <w:trHeight w:val="20"/>
        </w:trPr>
        <w:tc>
          <w:tcPr>
            <w:tcW w:w="4226" w:type="dxa"/>
            <w:tcBorders>
              <w:top w:val="nil"/>
              <w:left w:val="nil"/>
              <w:bottom w:val="nil"/>
              <w:right w:val="nil"/>
            </w:tcBorders>
            <w:shd w:val="clear" w:color="auto" w:fill="auto"/>
            <w:noWrap/>
            <w:vAlign w:val="center"/>
            <w:hideMark/>
          </w:tcPr>
          <w:p w14:paraId="7FB9BCF0" w14:textId="77777777" w:rsidR="003C5317" w:rsidRPr="005732FC" w:rsidRDefault="003C5317" w:rsidP="005B6C7F">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Incremento en las provisiones</w:t>
            </w:r>
          </w:p>
        </w:tc>
        <w:tc>
          <w:tcPr>
            <w:tcW w:w="2011" w:type="dxa"/>
            <w:tcBorders>
              <w:top w:val="nil"/>
              <w:left w:val="nil"/>
              <w:bottom w:val="nil"/>
              <w:right w:val="nil"/>
            </w:tcBorders>
            <w:shd w:val="clear" w:color="auto" w:fill="auto"/>
            <w:vAlign w:val="center"/>
            <w:hideMark/>
          </w:tcPr>
          <w:p w14:paraId="13924FE8" w14:textId="77777777" w:rsidR="003C5317" w:rsidRPr="005732FC"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tcPr>
          <w:p w14:paraId="6F102F8D" w14:textId="77777777" w:rsidR="003C5317" w:rsidRPr="005732FC"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3C5317" w:rsidRPr="005732FC" w14:paraId="00BF5D07" w14:textId="77777777" w:rsidTr="005B6C7F">
        <w:trPr>
          <w:trHeight w:val="20"/>
        </w:trPr>
        <w:tc>
          <w:tcPr>
            <w:tcW w:w="4226" w:type="dxa"/>
            <w:tcBorders>
              <w:top w:val="nil"/>
              <w:left w:val="nil"/>
              <w:bottom w:val="nil"/>
              <w:right w:val="nil"/>
            </w:tcBorders>
            <w:shd w:val="clear" w:color="auto" w:fill="auto"/>
            <w:vAlign w:val="center"/>
            <w:hideMark/>
          </w:tcPr>
          <w:p w14:paraId="3B6FD259" w14:textId="77777777" w:rsidR="003C5317" w:rsidRPr="005732FC" w:rsidRDefault="003C5317" w:rsidP="005B6C7F">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Incremento en las inversiones producido por revaluación</w:t>
            </w:r>
          </w:p>
        </w:tc>
        <w:tc>
          <w:tcPr>
            <w:tcW w:w="2011" w:type="dxa"/>
            <w:tcBorders>
              <w:top w:val="nil"/>
              <w:left w:val="nil"/>
              <w:bottom w:val="nil"/>
              <w:right w:val="nil"/>
            </w:tcBorders>
            <w:shd w:val="clear" w:color="auto" w:fill="auto"/>
            <w:vAlign w:val="center"/>
            <w:hideMark/>
          </w:tcPr>
          <w:p w14:paraId="4BE56E1B" w14:textId="77777777" w:rsidR="003C5317" w:rsidRPr="005732FC"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tcPr>
          <w:p w14:paraId="3BBDF07A" w14:textId="77777777" w:rsidR="003C5317" w:rsidRPr="005732FC"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3C5317" w:rsidRPr="005732FC" w14:paraId="2B06A9E4" w14:textId="77777777" w:rsidTr="005B6C7F">
        <w:trPr>
          <w:trHeight w:val="20"/>
        </w:trPr>
        <w:tc>
          <w:tcPr>
            <w:tcW w:w="4226" w:type="dxa"/>
            <w:tcBorders>
              <w:top w:val="nil"/>
              <w:left w:val="nil"/>
              <w:bottom w:val="nil"/>
              <w:right w:val="nil"/>
            </w:tcBorders>
            <w:shd w:val="clear" w:color="auto" w:fill="auto"/>
            <w:vAlign w:val="center"/>
            <w:hideMark/>
          </w:tcPr>
          <w:p w14:paraId="48608DD0" w14:textId="77777777" w:rsidR="003C5317" w:rsidRPr="005732FC" w:rsidRDefault="003C5317" w:rsidP="005B6C7F">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Ganancia/perdida en venta de propiedad, planta y equipo</w:t>
            </w:r>
          </w:p>
        </w:tc>
        <w:tc>
          <w:tcPr>
            <w:tcW w:w="2011" w:type="dxa"/>
            <w:tcBorders>
              <w:top w:val="nil"/>
              <w:left w:val="nil"/>
              <w:right w:val="nil"/>
            </w:tcBorders>
            <w:shd w:val="clear" w:color="auto" w:fill="auto"/>
            <w:vAlign w:val="center"/>
            <w:hideMark/>
          </w:tcPr>
          <w:p w14:paraId="3B2D4E37" w14:textId="77777777" w:rsidR="003C5317" w:rsidRPr="005732FC"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right w:val="nil"/>
            </w:tcBorders>
            <w:vAlign w:val="center"/>
          </w:tcPr>
          <w:p w14:paraId="541E5744" w14:textId="77777777" w:rsidR="003C5317" w:rsidRPr="005732FC"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3C5317" w:rsidRPr="005732FC" w14:paraId="6CAD2D94" w14:textId="77777777" w:rsidTr="005B6C7F">
        <w:trPr>
          <w:trHeight w:val="20"/>
        </w:trPr>
        <w:tc>
          <w:tcPr>
            <w:tcW w:w="4226" w:type="dxa"/>
            <w:tcBorders>
              <w:top w:val="nil"/>
              <w:left w:val="nil"/>
              <w:bottom w:val="single" w:sz="8" w:space="0" w:color="auto"/>
              <w:right w:val="nil"/>
            </w:tcBorders>
            <w:shd w:val="clear" w:color="auto" w:fill="auto"/>
            <w:noWrap/>
            <w:vAlign w:val="center"/>
            <w:hideMark/>
          </w:tcPr>
          <w:p w14:paraId="39B04FAB" w14:textId="77777777" w:rsidR="003C5317" w:rsidRPr="005732FC" w:rsidRDefault="003C5317" w:rsidP="005B6C7F">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Incremento en cuentas por cobrar</w:t>
            </w:r>
          </w:p>
        </w:tc>
        <w:tc>
          <w:tcPr>
            <w:tcW w:w="2011" w:type="dxa"/>
            <w:tcBorders>
              <w:top w:val="nil"/>
              <w:left w:val="nil"/>
              <w:bottom w:val="single" w:sz="4" w:space="0" w:color="auto"/>
              <w:right w:val="nil"/>
            </w:tcBorders>
            <w:shd w:val="clear" w:color="auto" w:fill="auto"/>
            <w:noWrap/>
            <w:vAlign w:val="center"/>
            <w:hideMark/>
          </w:tcPr>
          <w:p w14:paraId="3BED23AB" w14:textId="77777777" w:rsidR="003C5317" w:rsidRPr="005732FC"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4" w:space="0" w:color="auto"/>
              <w:right w:val="nil"/>
            </w:tcBorders>
            <w:vAlign w:val="center"/>
          </w:tcPr>
          <w:p w14:paraId="137E3B14" w14:textId="77777777" w:rsidR="003C5317" w:rsidRPr="005732FC"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0.00</w:t>
            </w:r>
          </w:p>
        </w:tc>
      </w:tr>
      <w:tr w:rsidR="003C5317" w:rsidRPr="005732FC" w14:paraId="00453945" w14:textId="77777777" w:rsidTr="005B6C7F">
        <w:trPr>
          <w:trHeight w:val="20"/>
        </w:trPr>
        <w:tc>
          <w:tcPr>
            <w:tcW w:w="4226" w:type="dxa"/>
            <w:tcBorders>
              <w:top w:val="nil"/>
              <w:left w:val="nil"/>
              <w:bottom w:val="single" w:sz="8" w:space="0" w:color="auto"/>
              <w:right w:val="nil"/>
            </w:tcBorders>
            <w:shd w:val="clear" w:color="000000" w:fill="BFBFBF"/>
            <w:vAlign w:val="center"/>
            <w:hideMark/>
          </w:tcPr>
          <w:p w14:paraId="4ABA7343" w14:textId="77777777" w:rsidR="003C5317" w:rsidRPr="005732FC"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Flujos de Efectivo Netos de las actividades de Operación</w:t>
            </w:r>
          </w:p>
        </w:tc>
        <w:tc>
          <w:tcPr>
            <w:tcW w:w="2011" w:type="dxa"/>
            <w:tcBorders>
              <w:top w:val="single" w:sz="4" w:space="0" w:color="auto"/>
              <w:left w:val="nil"/>
              <w:bottom w:val="single" w:sz="8" w:space="0" w:color="auto"/>
              <w:right w:val="nil"/>
            </w:tcBorders>
            <w:shd w:val="clear" w:color="000000" w:fill="BFBFBF"/>
            <w:noWrap/>
            <w:vAlign w:val="center"/>
            <w:hideMark/>
          </w:tcPr>
          <w:p w14:paraId="6DE4ABC7" w14:textId="51228415" w:rsidR="003C5317" w:rsidRPr="005732FC" w:rsidRDefault="002D218A" w:rsidP="005B6C7F">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1,300,574,068.37</w:t>
            </w:r>
          </w:p>
        </w:tc>
        <w:tc>
          <w:tcPr>
            <w:tcW w:w="2268" w:type="dxa"/>
            <w:tcBorders>
              <w:top w:val="single" w:sz="4" w:space="0" w:color="auto"/>
              <w:left w:val="nil"/>
              <w:bottom w:val="single" w:sz="8" w:space="0" w:color="auto"/>
              <w:right w:val="nil"/>
            </w:tcBorders>
            <w:shd w:val="clear" w:color="000000" w:fill="BFBFBF"/>
            <w:vAlign w:val="center"/>
          </w:tcPr>
          <w:p w14:paraId="789ED458" w14:textId="77777777" w:rsidR="003C5317" w:rsidRPr="005732FC" w:rsidRDefault="003C5317" w:rsidP="005B6C7F">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1,198,414,837.91</w:t>
            </w:r>
          </w:p>
        </w:tc>
      </w:tr>
    </w:tbl>
    <w:p w14:paraId="0629B7DD" w14:textId="52937584" w:rsidR="00C9563D" w:rsidRPr="005732FC" w:rsidRDefault="00BA3347" w:rsidP="00A20367">
      <w:pPr>
        <w:pStyle w:val="Ttulo1"/>
        <w:rPr>
          <w:rFonts w:ascii="Arial" w:hAnsi="Arial" w:cs="Arial"/>
          <w:b/>
          <w:bCs/>
          <w:sz w:val="20"/>
          <w:szCs w:val="20"/>
        </w:rPr>
      </w:pPr>
      <w:r w:rsidRPr="005732FC">
        <w:rPr>
          <w:rFonts w:ascii="Arial" w:hAnsi="Arial" w:cs="Arial"/>
          <w:b/>
          <w:bCs/>
          <w:color w:val="auto"/>
          <w:sz w:val="20"/>
          <w:szCs w:val="20"/>
        </w:rPr>
        <w:t>V</w:t>
      </w:r>
      <w:r w:rsidRPr="005732FC">
        <w:rPr>
          <w:rFonts w:ascii="Arial" w:hAnsi="Arial" w:cs="Arial"/>
          <w:b/>
          <w:bCs/>
          <w:color w:val="auto"/>
          <w:sz w:val="20"/>
          <w:szCs w:val="20"/>
        </w:rPr>
        <w:tab/>
        <w:t xml:space="preserve">Conciliación entre los ingresos presupuestarios y contables, así como los egresos presupuestarios y </w:t>
      </w:r>
      <w:r w:rsidR="00E33764" w:rsidRPr="005732FC">
        <w:rPr>
          <w:rFonts w:ascii="Arial" w:hAnsi="Arial" w:cs="Arial"/>
          <w:b/>
          <w:bCs/>
          <w:color w:val="auto"/>
          <w:sz w:val="20"/>
          <w:szCs w:val="20"/>
        </w:rPr>
        <w:t xml:space="preserve">   </w:t>
      </w:r>
      <w:r w:rsidRPr="005732FC">
        <w:rPr>
          <w:rFonts w:ascii="Arial" w:hAnsi="Arial" w:cs="Arial"/>
          <w:b/>
          <w:bCs/>
          <w:color w:val="auto"/>
          <w:sz w:val="20"/>
          <w:szCs w:val="20"/>
        </w:rPr>
        <w:t>gastos contables.</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sz w:val="20"/>
          <w:szCs w:val="20"/>
        </w:rPr>
        <w:tab/>
      </w:r>
      <w:r w:rsidRPr="005732FC">
        <w:rPr>
          <w:rFonts w:ascii="Arial" w:hAnsi="Arial" w:cs="Arial"/>
          <w:sz w:val="20"/>
          <w:szCs w:val="20"/>
        </w:rPr>
        <w:tab/>
      </w:r>
    </w:p>
    <w:p w14:paraId="0F041E05" w14:textId="1AB7544C"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C006B5A" w14:textId="00D8981C" w:rsidR="00BA3347" w:rsidRPr="005732FC" w:rsidRDefault="00BA3347" w:rsidP="005D2B3E">
      <w:pPr>
        <w:pStyle w:val="Ttulo2"/>
        <w:numPr>
          <w:ilvl w:val="0"/>
          <w:numId w:val="20"/>
        </w:numPr>
        <w:ind w:left="0"/>
        <w:rPr>
          <w:rFonts w:ascii="Arial" w:hAnsi="Arial" w:cs="Arial"/>
          <w:sz w:val="20"/>
          <w:szCs w:val="20"/>
        </w:rPr>
      </w:pPr>
      <w:r w:rsidRPr="005732FC">
        <w:rPr>
          <w:rFonts w:ascii="Arial" w:hAnsi="Arial" w:cs="Arial"/>
          <w:b/>
          <w:bCs/>
          <w:color w:val="auto"/>
          <w:sz w:val="20"/>
          <w:szCs w:val="20"/>
        </w:rPr>
        <w:t>Conciliación entre los ingresos presupuestarios y contables</w:t>
      </w:r>
      <w:r w:rsidRPr="005732FC">
        <w:rPr>
          <w:rFonts w:ascii="Arial" w:hAnsi="Arial" w:cs="Arial"/>
          <w:color w:val="auto"/>
          <w:sz w:val="20"/>
          <w:szCs w:val="20"/>
        </w:rPr>
        <w:t>.</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ED97F2A" w14:textId="77777777" w:rsidR="00E33764" w:rsidRPr="005732FC" w:rsidRDefault="00E33764" w:rsidP="005D2B3E">
      <w:pPr>
        <w:spacing w:after="0"/>
        <w:jc w:val="both"/>
        <w:rPr>
          <w:rFonts w:ascii="Arial" w:hAnsi="Arial" w:cs="Arial"/>
          <w:sz w:val="20"/>
          <w:szCs w:val="20"/>
        </w:rPr>
      </w:pPr>
    </w:p>
    <w:tbl>
      <w:tblPr>
        <w:tblW w:w="8784" w:type="dxa"/>
        <w:tblCellMar>
          <w:left w:w="70" w:type="dxa"/>
          <w:right w:w="70" w:type="dxa"/>
        </w:tblCellMar>
        <w:tblLook w:val="04A0" w:firstRow="1" w:lastRow="0" w:firstColumn="1" w:lastColumn="0" w:noHBand="0" w:noVBand="1"/>
      </w:tblPr>
      <w:tblGrid>
        <w:gridCol w:w="6543"/>
        <w:gridCol w:w="196"/>
        <w:gridCol w:w="2045"/>
      </w:tblGrid>
      <w:tr w:rsidR="003C5317" w:rsidRPr="002707E3" w14:paraId="5E7E1753" w14:textId="77777777" w:rsidTr="005B6C7F">
        <w:trPr>
          <w:trHeight w:val="20"/>
          <w:tblHeader/>
        </w:trPr>
        <w:tc>
          <w:tcPr>
            <w:tcW w:w="8784" w:type="dxa"/>
            <w:gridSpan w:val="3"/>
            <w:tcBorders>
              <w:top w:val="single" w:sz="4" w:space="0" w:color="auto"/>
              <w:left w:val="single" w:sz="4" w:space="0" w:color="auto"/>
              <w:bottom w:val="nil"/>
              <w:right w:val="single" w:sz="4" w:space="0" w:color="auto"/>
            </w:tcBorders>
            <w:shd w:val="clear" w:color="000000" w:fill="BFBFBF"/>
            <w:noWrap/>
            <w:vAlign w:val="center"/>
            <w:hideMark/>
          </w:tcPr>
          <w:p w14:paraId="1D83A5D8" w14:textId="77777777" w:rsidR="003C5317" w:rsidRPr="002707E3" w:rsidRDefault="003C5317" w:rsidP="005B6C7F">
            <w:pPr>
              <w:spacing w:after="0" w:line="240" w:lineRule="auto"/>
              <w:jc w:val="center"/>
              <w:rPr>
                <w:rFonts w:ascii="Arial" w:eastAsia="Times New Roman" w:hAnsi="Arial" w:cs="Arial"/>
                <w:b/>
                <w:bCs/>
                <w:color w:val="000000"/>
                <w:kern w:val="0"/>
                <w:sz w:val="18"/>
                <w:szCs w:val="18"/>
                <w:lang w:eastAsia="es-MX"/>
                <w14:ligatures w14:val="none"/>
              </w:rPr>
            </w:pPr>
            <w:r w:rsidRPr="002707E3">
              <w:rPr>
                <w:rFonts w:ascii="Arial" w:eastAsia="Times New Roman" w:hAnsi="Arial" w:cs="Arial"/>
                <w:b/>
                <w:bCs/>
                <w:color w:val="000000"/>
                <w:kern w:val="0"/>
                <w:sz w:val="18"/>
                <w:szCs w:val="18"/>
                <w:lang w:eastAsia="es-MX"/>
                <w14:ligatures w14:val="none"/>
              </w:rPr>
              <w:t>MUNICIPIO DE BENITO JUÁREZ</w:t>
            </w:r>
          </w:p>
        </w:tc>
      </w:tr>
      <w:tr w:rsidR="003C5317" w:rsidRPr="002707E3" w14:paraId="26500925" w14:textId="77777777" w:rsidTr="005B6C7F">
        <w:trPr>
          <w:trHeight w:val="20"/>
          <w:tblHeader/>
        </w:trPr>
        <w:tc>
          <w:tcPr>
            <w:tcW w:w="8784" w:type="dxa"/>
            <w:gridSpan w:val="3"/>
            <w:tcBorders>
              <w:top w:val="nil"/>
              <w:left w:val="single" w:sz="4" w:space="0" w:color="auto"/>
              <w:bottom w:val="nil"/>
              <w:right w:val="single" w:sz="4" w:space="0" w:color="auto"/>
            </w:tcBorders>
            <w:shd w:val="clear" w:color="000000" w:fill="BFBFBF"/>
            <w:noWrap/>
            <w:vAlign w:val="center"/>
            <w:hideMark/>
          </w:tcPr>
          <w:p w14:paraId="2651AC69" w14:textId="77777777" w:rsidR="003C5317" w:rsidRPr="002707E3" w:rsidRDefault="003C5317" w:rsidP="005B6C7F">
            <w:pPr>
              <w:spacing w:after="0" w:line="240" w:lineRule="auto"/>
              <w:jc w:val="center"/>
              <w:rPr>
                <w:rFonts w:ascii="Arial" w:eastAsia="Times New Roman" w:hAnsi="Arial" w:cs="Arial"/>
                <w:b/>
                <w:bCs/>
                <w:color w:val="000000"/>
                <w:kern w:val="0"/>
                <w:sz w:val="18"/>
                <w:szCs w:val="18"/>
                <w:lang w:eastAsia="es-MX"/>
                <w14:ligatures w14:val="none"/>
              </w:rPr>
            </w:pPr>
            <w:r w:rsidRPr="002707E3">
              <w:rPr>
                <w:rFonts w:ascii="Arial" w:eastAsia="Times New Roman" w:hAnsi="Arial" w:cs="Arial"/>
                <w:b/>
                <w:bCs/>
                <w:color w:val="000000"/>
                <w:kern w:val="0"/>
                <w:sz w:val="18"/>
                <w:szCs w:val="18"/>
                <w:lang w:eastAsia="es-MX"/>
                <w14:ligatures w14:val="none"/>
              </w:rPr>
              <w:t>CONCILIACIÓN ENTRE LOS INGRESOS PRESUPUESTARIOS Y CONTABLES</w:t>
            </w:r>
          </w:p>
        </w:tc>
      </w:tr>
      <w:tr w:rsidR="003C5317" w:rsidRPr="002707E3" w14:paraId="0A88E8A3" w14:textId="77777777" w:rsidTr="005B6C7F">
        <w:trPr>
          <w:trHeight w:val="20"/>
          <w:tblHeader/>
        </w:trPr>
        <w:tc>
          <w:tcPr>
            <w:tcW w:w="8784" w:type="dxa"/>
            <w:gridSpan w:val="3"/>
            <w:tcBorders>
              <w:top w:val="nil"/>
              <w:left w:val="single" w:sz="4" w:space="0" w:color="auto"/>
              <w:bottom w:val="nil"/>
              <w:right w:val="single" w:sz="4" w:space="0" w:color="auto"/>
            </w:tcBorders>
            <w:shd w:val="clear" w:color="000000" w:fill="BFBFBF"/>
            <w:noWrap/>
            <w:vAlign w:val="center"/>
            <w:hideMark/>
          </w:tcPr>
          <w:p w14:paraId="677B917A" w14:textId="6661CDF8" w:rsidR="003C5317" w:rsidRPr="002707E3" w:rsidRDefault="003C5317" w:rsidP="005B6C7F">
            <w:pPr>
              <w:spacing w:after="0" w:line="240" w:lineRule="auto"/>
              <w:jc w:val="center"/>
              <w:rPr>
                <w:rFonts w:ascii="Arial" w:eastAsia="Times New Roman" w:hAnsi="Arial" w:cs="Arial"/>
                <w:b/>
                <w:bCs/>
                <w:color w:val="000000"/>
                <w:kern w:val="0"/>
                <w:sz w:val="18"/>
                <w:szCs w:val="18"/>
                <w:lang w:eastAsia="es-MX"/>
                <w14:ligatures w14:val="none"/>
              </w:rPr>
            </w:pPr>
            <w:r w:rsidRPr="002707E3">
              <w:rPr>
                <w:rFonts w:ascii="Arial" w:eastAsia="Times New Roman" w:hAnsi="Arial" w:cs="Arial"/>
                <w:b/>
                <w:bCs/>
                <w:color w:val="000000"/>
                <w:kern w:val="0"/>
                <w:sz w:val="18"/>
                <w:szCs w:val="18"/>
                <w:lang w:eastAsia="es-MX"/>
                <w14:ligatures w14:val="none"/>
              </w:rPr>
              <w:t>DEL 01 DE ENERO AL 3</w:t>
            </w:r>
            <w:r w:rsidR="00A20367" w:rsidRPr="002707E3">
              <w:rPr>
                <w:rFonts w:ascii="Arial" w:eastAsia="Times New Roman" w:hAnsi="Arial" w:cs="Arial"/>
                <w:b/>
                <w:bCs/>
                <w:color w:val="000000"/>
                <w:kern w:val="0"/>
                <w:sz w:val="18"/>
                <w:szCs w:val="18"/>
                <w:lang w:eastAsia="es-MX"/>
                <w14:ligatures w14:val="none"/>
              </w:rPr>
              <w:t>0</w:t>
            </w:r>
            <w:r w:rsidRPr="002707E3">
              <w:rPr>
                <w:rFonts w:ascii="Arial" w:eastAsia="Times New Roman" w:hAnsi="Arial" w:cs="Arial"/>
                <w:b/>
                <w:bCs/>
                <w:color w:val="000000"/>
                <w:kern w:val="0"/>
                <w:sz w:val="18"/>
                <w:szCs w:val="18"/>
                <w:lang w:eastAsia="es-MX"/>
                <w14:ligatures w14:val="none"/>
              </w:rPr>
              <w:t xml:space="preserve"> DE </w:t>
            </w:r>
            <w:r w:rsidR="00A20367" w:rsidRPr="002707E3">
              <w:rPr>
                <w:rFonts w:ascii="Arial" w:eastAsia="Times New Roman" w:hAnsi="Arial" w:cs="Arial"/>
                <w:b/>
                <w:bCs/>
                <w:color w:val="000000"/>
                <w:kern w:val="0"/>
                <w:sz w:val="18"/>
                <w:szCs w:val="18"/>
                <w:lang w:eastAsia="es-MX"/>
                <w14:ligatures w14:val="none"/>
              </w:rPr>
              <w:t>JUNIO</w:t>
            </w:r>
            <w:r w:rsidRPr="002707E3">
              <w:rPr>
                <w:rFonts w:ascii="Arial" w:eastAsia="Times New Roman" w:hAnsi="Arial" w:cs="Arial"/>
                <w:b/>
                <w:bCs/>
                <w:color w:val="000000"/>
                <w:kern w:val="0"/>
                <w:sz w:val="18"/>
                <w:szCs w:val="18"/>
                <w:lang w:eastAsia="es-MX"/>
                <w14:ligatures w14:val="none"/>
              </w:rPr>
              <w:t xml:space="preserve"> DEL 2025</w:t>
            </w:r>
          </w:p>
        </w:tc>
      </w:tr>
      <w:tr w:rsidR="003C5317" w:rsidRPr="002707E3" w14:paraId="6E4C1BE3" w14:textId="77777777" w:rsidTr="005B6C7F">
        <w:trPr>
          <w:trHeight w:val="20"/>
          <w:tblHeader/>
        </w:trPr>
        <w:tc>
          <w:tcPr>
            <w:tcW w:w="8784"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41517D99" w14:textId="77777777" w:rsidR="003C5317" w:rsidRPr="002707E3" w:rsidRDefault="003C5317" w:rsidP="005B6C7F">
            <w:pPr>
              <w:spacing w:after="0" w:line="240" w:lineRule="auto"/>
              <w:jc w:val="center"/>
              <w:rPr>
                <w:rFonts w:ascii="Arial" w:eastAsia="Times New Roman" w:hAnsi="Arial" w:cs="Arial"/>
                <w:b/>
                <w:bCs/>
                <w:color w:val="000000"/>
                <w:kern w:val="0"/>
                <w:sz w:val="18"/>
                <w:szCs w:val="18"/>
                <w:lang w:eastAsia="es-MX"/>
                <w14:ligatures w14:val="none"/>
              </w:rPr>
            </w:pPr>
            <w:r w:rsidRPr="002707E3">
              <w:rPr>
                <w:rFonts w:ascii="Arial" w:eastAsia="Times New Roman" w:hAnsi="Arial" w:cs="Arial"/>
                <w:b/>
                <w:bCs/>
                <w:color w:val="000000"/>
                <w:kern w:val="0"/>
                <w:sz w:val="18"/>
                <w:szCs w:val="18"/>
                <w:lang w:eastAsia="es-MX"/>
                <w14:ligatures w14:val="none"/>
              </w:rPr>
              <w:t>(CIFRAS EN PESOS)</w:t>
            </w:r>
          </w:p>
        </w:tc>
      </w:tr>
      <w:tr w:rsidR="003C5317" w:rsidRPr="002707E3" w14:paraId="74D4B639" w14:textId="77777777" w:rsidTr="005B6C7F">
        <w:trPr>
          <w:trHeight w:val="20"/>
        </w:trPr>
        <w:tc>
          <w:tcPr>
            <w:tcW w:w="6739" w:type="dxa"/>
            <w:gridSpan w:val="2"/>
            <w:tcBorders>
              <w:top w:val="single" w:sz="4" w:space="0" w:color="auto"/>
              <w:left w:val="nil"/>
              <w:bottom w:val="single" w:sz="8" w:space="0" w:color="auto"/>
              <w:right w:val="nil"/>
            </w:tcBorders>
            <w:shd w:val="clear" w:color="000000" w:fill="BFBFBF"/>
            <w:noWrap/>
            <w:vAlign w:val="center"/>
            <w:hideMark/>
          </w:tcPr>
          <w:p w14:paraId="78D6D457" w14:textId="77777777" w:rsidR="003C5317" w:rsidRPr="002707E3"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2707E3">
              <w:rPr>
                <w:rFonts w:ascii="Arial" w:eastAsia="Times New Roman" w:hAnsi="Arial" w:cs="Arial"/>
                <w:b/>
                <w:bCs/>
                <w:color w:val="000000"/>
                <w:kern w:val="0"/>
                <w:sz w:val="20"/>
                <w:szCs w:val="20"/>
                <w:lang w:eastAsia="es-MX"/>
                <w14:ligatures w14:val="none"/>
              </w:rPr>
              <w:t>1. Total de Ingresos Presupuestarios</w:t>
            </w:r>
          </w:p>
        </w:tc>
        <w:tc>
          <w:tcPr>
            <w:tcW w:w="2045" w:type="dxa"/>
            <w:tcBorders>
              <w:top w:val="single" w:sz="4" w:space="0" w:color="auto"/>
              <w:left w:val="nil"/>
              <w:bottom w:val="single" w:sz="8" w:space="0" w:color="auto"/>
              <w:right w:val="nil"/>
            </w:tcBorders>
            <w:shd w:val="clear" w:color="000000" w:fill="BFBFBF"/>
            <w:noWrap/>
            <w:vAlign w:val="center"/>
            <w:hideMark/>
          </w:tcPr>
          <w:p w14:paraId="649CF7A1" w14:textId="624A7DFF" w:rsidR="003C5317" w:rsidRPr="002707E3" w:rsidRDefault="002D218A" w:rsidP="005B6C7F">
            <w:pPr>
              <w:spacing w:after="0" w:line="240" w:lineRule="auto"/>
              <w:jc w:val="right"/>
              <w:rPr>
                <w:rFonts w:ascii="Arial" w:eastAsia="Times New Roman" w:hAnsi="Arial" w:cs="Arial"/>
                <w:b/>
                <w:bCs/>
                <w:color w:val="000000"/>
                <w:kern w:val="0"/>
                <w:sz w:val="20"/>
                <w:szCs w:val="20"/>
                <w:lang w:eastAsia="es-MX"/>
                <w14:ligatures w14:val="none"/>
              </w:rPr>
            </w:pPr>
            <w:r w:rsidRPr="002707E3">
              <w:rPr>
                <w:rFonts w:ascii="Arial" w:eastAsia="Times New Roman" w:hAnsi="Arial" w:cs="Arial"/>
                <w:b/>
                <w:bCs/>
                <w:color w:val="000000"/>
                <w:kern w:val="0"/>
                <w:sz w:val="20"/>
                <w:szCs w:val="20"/>
                <w:lang w:eastAsia="es-MX"/>
                <w14:ligatures w14:val="none"/>
              </w:rPr>
              <w:t>4,503,951,434.5</w:t>
            </w:r>
            <w:r w:rsidR="002707E3" w:rsidRPr="002707E3">
              <w:rPr>
                <w:rFonts w:ascii="Arial" w:eastAsia="Times New Roman" w:hAnsi="Arial" w:cs="Arial"/>
                <w:b/>
                <w:bCs/>
                <w:color w:val="000000"/>
                <w:kern w:val="0"/>
                <w:sz w:val="20"/>
                <w:szCs w:val="20"/>
                <w:lang w:eastAsia="es-MX"/>
                <w14:ligatures w14:val="none"/>
              </w:rPr>
              <w:t>3</w:t>
            </w:r>
          </w:p>
        </w:tc>
      </w:tr>
      <w:tr w:rsidR="003C5317" w:rsidRPr="002707E3" w14:paraId="57D3E86A" w14:textId="77777777" w:rsidTr="005B6C7F">
        <w:trPr>
          <w:trHeight w:val="20"/>
        </w:trPr>
        <w:tc>
          <w:tcPr>
            <w:tcW w:w="6739" w:type="dxa"/>
            <w:gridSpan w:val="2"/>
            <w:tcBorders>
              <w:top w:val="nil"/>
              <w:left w:val="nil"/>
              <w:bottom w:val="single" w:sz="8" w:space="0" w:color="auto"/>
              <w:right w:val="nil"/>
            </w:tcBorders>
            <w:shd w:val="clear" w:color="000000" w:fill="BFBFBF"/>
            <w:noWrap/>
            <w:vAlign w:val="center"/>
            <w:hideMark/>
          </w:tcPr>
          <w:p w14:paraId="1F5FA7A3" w14:textId="77777777" w:rsidR="003C5317" w:rsidRPr="002707E3"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2707E3">
              <w:rPr>
                <w:rFonts w:ascii="Arial" w:eastAsia="Times New Roman" w:hAnsi="Arial" w:cs="Arial"/>
                <w:b/>
                <w:bCs/>
                <w:color w:val="000000"/>
                <w:kern w:val="0"/>
                <w:sz w:val="20"/>
                <w:szCs w:val="20"/>
                <w:lang w:eastAsia="es-MX"/>
                <w14:ligatures w14:val="none"/>
              </w:rPr>
              <w:t>2. Más ingresos contables no presupuestarios</w:t>
            </w:r>
          </w:p>
        </w:tc>
        <w:tc>
          <w:tcPr>
            <w:tcW w:w="2045" w:type="dxa"/>
            <w:tcBorders>
              <w:top w:val="nil"/>
              <w:left w:val="nil"/>
              <w:bottom w:val="single" w:sz="8" w:space="0" w:color="auto"/>
              <w:right w:val="nil"/>
            </w:tcBorders>
            <w:shd w:val="clear" w:color="000000" w:fill="BFBFBF"/>
            <w:noWrap/>
            <w:vAlign w:val="center"/>
            <w:hideMark/>
          </w:tcPr>
          <w:p w14:paraId="33AEE6AA" w14:textId="77777777" w:rsidR="003C5317" w:rsidRPr="002707E3" w:rsidRDefault="003C5317" w:rsidP="005B6C7F">
            <w:pPr>
              <w:spacing w:after="0" w:line="240" w:lineRule="auto"/>
              <w:jc w:val="right"/>
              <w:rPr>
                <w:rFonts w:ascii="Arial" w:eastAsia="Times New Roman" w:hAnsi="Arial" w:cs="Arial"/>
                <w:b/>
                <w:bCs/>
                <w:color w:val="000000"/>
                <w:kern w:val="0"/>
                <w:sz w:val="20"/>
                <w:szCs w:val="20"/>
                <w:lang w:eastAsia="es-MX"/>
                <w14:ligatures w14:val="none"/>
              </w:rPr>
            </w:pPr>
            <w:r w:rsidRPr="002707E3">
              <w:rPr>
                <w:rFonts w:ascii="Arial" w:eastAsia="Times New Roman" w:hAnsi="Arial" w:cs="Arial"/>
                <w:b/>
                <w:bCs/>
                <w:color w:val="000000"/>
                <w:kern w:val="0"/>
                <w:sz w:val="20"/>
                <w:szCs w:val="20"/>
                <w:lang w:eastAsia="es-MX"/>
                <w14:ligatures w14:val="none"/>
              </w:rPr>
              <w:t>0.00</w:t>
            </w:r>
          </w:p>
        </w:tc>
      </w:tr>
      <w:tr w:rsidR="003C5317" w:rsidRPr="002707E3" w14:paraId="46E09A30" w14:textId="77777777" w:rsidTr="005B6C7F">
        <w:trPr>
          <w:trHeight w:val="20"/>
        </w:trPr>
        <w:tc>
          <w:tcPr>
            <w:tcW w:w="6543" w:type="dxa"/>
            <w:tcBorders>
              <w:top w:val="nil"/>
              <w:left w:val="nil"/>
              <w:bottom w:val="nil"/>
              <w:right w:val="nil"/>
            </w:tcBorders>
            <w:shd w:val="clear" w:color="auto" w:fill="auto"/>
            <w:noWrap/>
            <w:vAlign w:val="center"/>
            <w:hideMark/>
          </w:tcPr>
          <w:p w14:paraId="7788107B" w14:textId="77777777" w:rsidR="003C5317" w:rsidRPr="002707E3" w:rsidRDefault="003C5317" w:rsidP="005B6C7F">
            <w:pPr>
              <w:spacing w:after="0" w:line="240" w:lineRule="auto"/>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2.1 Ingresos Financieros</w:t>
            </w:r>
          </w:p>
        </w:tc>
        <w:tc>
          <w:tcPr>
            <w:tcW w:w="196" w:type="dxa"/>
            <w:tcBorders>
              <w:top w:val="nil"/>
              <w:left w:val="nil"/>
              <w:bottom w:val="nil"/>
              <w:right w:val="nil"/>
            </w:tcBorders>
            <w:shd w:val="clear" w:color="auto" w:fill="auto"/>
            <w:noWrap/>
            <w:vAlign w:val="center"/>
            <w:hideMark/>
          </w:tcPr>
          <w:p w14:paraId="39ED470E" w14:textId="77777777" w:rsidR="003C5317" w:rsidRPr="002707E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2045" w:type="dxa"/>
            <w:tcBorders>
              <w:top w:val="nil"/>
              <w:left w:val="nil"/>
              <w:bottom w:val="nil"/>
              <w:right w:val="nil"/>
            </w:tcBorders>
            <w:shd w:val="clear" w:color="auto" w:fill="auto"/>
            <w:noWrap/>
            <w:vAlign w:val="center"/>
            <w:hideMark/>
          </w:tcPr>
          <w:p w14:paraId="5ECBAE0A" w14:textId="77777777" w:rsidR="003C5317" w:rsidRPr="002707E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0.00</w:t>
            </w:r>
          </w:p>
        </w:tc>
      </w:tr>
      <w:tr w:rsidR="003C5317" w:rsidRPr="002707E3" w14:paraId="6D025DF5" w14:textId="77777777" w:rsidTr="005B6C7F">
        <w:trPr>
          <w:trHeight w:val="20"/>
        </w:trPr>
        <w:tc>
          <w:tcPr>
            <w:tcW w:w="6739" w:type="dxa"/>
            <w:gridSpan w:val="2"/>
            <w:tcBorders>
              <w:top w:val="nil"/>
              <w:left w:val="nil"/>
              <w:bottom w:val="nil"/>
              <w:right w:val="nil"/>
            </w:tcBorders>
            <w:shd w:val="clear" w:color="auto" w:fill="auto"/>
            <w:noWrap/>
            <w:vAlign w:val="center"/>
            <w:hideMark/>
          </w:tcPr>
          <w:p w14:paraId="3187F423" w14:textId="77777777" w:rsidR="003C5317" w:rsidRPr="002707E3" w:rsidRDefault="003C5317" w:rsidP="005B6C7F">
            <w:pPr>
              <w:spacing w:after="0" w:line="240" w:lineRule="auto"/>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2.2 Incremento por Variación de Inventarios</w:t>
            </w:r>
          </w:p>
        </w:tc>
        <w:tc>
          <w:tcPr>
            <w:tcW w:w="2045" w:type="dxa"/>
            <w:tcBorders>
              <w:top w:val="nil"/>
              <w:left w:val="nil"/>
              <w:bottom w:val="nil"/>
              <w:right w:val="nil"/>
            </w:tcBorders>
            <w:shd w:val="clear" w:color="auto" w:fill="auto"/>
            <w:noWrap/>
            <w:vAlign w:val="center"/>
            <w:hideMark/>
          </w:tcPr>
          <w:p w14:paraId="47ADAE3E" w14:textId="77777777" w:rsidR="003C5317" w:rsidRPr="002707E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0.00</w:t>
            </w:r>
          </w:p>
        </w:tc>
      </w:tr>
      <w:tr w:rsidR="003C5317" w:rsidRPr="002707E3" w14:paraId="42CD70E4" w14:textId="77777777" w:rsidTr="005B6C7F">
        <w:trPr>
          <w:trHeight w:val="20"/>
        </w:trPr>
        <w:tc>
          <w:tcPr>
            <w:tcW w:w="6739" w:type="dxa"/>
            <w:gridSpan w:val="2"/>
            <w:tcBorders>
              <w:top w:val="nil"/>
              <w:left w:val="nil"/>
              <w:bottom w:val="nil"/>
              <w:right w:val="nil"/>
            </w:tcBorders>
            <w:shd w:val="clear" w:color="auto" w:fill="auto"/>
            <w:noWrap/>
            <w:vAlign w:val="center"/>
            <w:hideMark/>
          </w:tcPr>
          <w:p w14:paraId="0EDB6D41" w14:textId="77777777" w:rsidR="003C5317" w:rsidRPr="002707E3" w:rsidRDefault="003C5317" w:rsidP="005B6C7F">
            <w:pPr>
              <w:spacing w:after="0" w:line="240" w:lineRule="auto"/>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2.3 Disminución del Exceso de Estimaciones por Pérdida o Deterioro u Obsolescencia</w:t>
            </w:r>
          </w:p>
        </w:tc>
        <w:tc>
          <w:tcPr>
            <w:tcW w:w="2045" w:type="dxa"/>
            <w:tcBorders>
              <w:top w:val="nil"/>
              <w:left w:val="nil"/>
              <w:bottom w:val="nil"/>
              <w:right w:val="nil"/>
            </w:tcBorders>
            <w:shd w:val="clear" w:color="auto" w:fill="auto"/>
            <w:noWrap/>
            <w:vAlign w:val="center"/>
            <w:hideMark/>
          </w:tcPr>
          <w:p w14:paraId="12FB03CC" w14:textId="77777777" w:rsidR="003C5317" w:rsidRPr="002707E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0.00</w:t>
            </w:r>
          </w:p>
        </w:tc>
      </w:tr>
      <w:tr w:rsidR="003C5317" w:rsidRPr="002707E3" w14:paraId="69F0217A" w14:textId="77777777" w:rsidTr="005B6C7F">
        <w:trPr>
          <w:trHeight w:val="20"/>
        </w:trPr>
        <w:tc>
          <w:tcPr>
            <w:tcW w:w="6739" w:type="dxa"/>
            <w:gridSpan w:val="2"/>
            <w:tcBorders>
              <w:top w:val="nil"/>
              <w:left w:val="nil"/>
              <w:bottom w:val="nil"/>
              <w:right w:val="nil"/>
            </w:tcBorders>
            <w:shd w:val="clear" w:color="auto" w:fill="auto"/>
            <w:noWrap/>
            <w:vAlign w:val="center"/>
            <w:hideMark/>
          </w:tcPr>
          <w:p w14:paraId="5E70B51D" w14:textId="77777777" w:rsidR="003C5317" w:rsidRPr="002707E3" w:rsidRDefault="003C5317" w:rsidP="005B6C7F">
            <w:pPr>
              <w:spacing w:after="0" w:line="240" w:lineRule="auto"/>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2.4 Disminución del Exceso de Provisiones</w:t>
            </w:r>
          </w:p>
        </w:tc>
        <w:tc>
          <w:tcPr>
            <w:tcW w:w="2045" w:type="dxa"/>
            <w:tcBorders>
              <w:top w:val="nil"/>
              <w:left w:val="nil"/>
              <w:bottom w:val="nil"/>
              <w:right w:val="nil"/>
            </w:tcBorders>
            <w:shd w:val="clear" w:color="auto" w:fill="auto"/>
            <w:noWrap/>
            <w:vAlign w:val="center"/>
            <w:hideMark/>
          </w:tcPr>
          <w:p w14:paraId="24E11505" w14:textId="77777777" w:rsidR="003C5317" w:rsidRPr="002707E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0.00</w:t>
            </w:r>
          </w:p>
        </w:tc>
      </w:tr>
      <w:tr w:rsidR="003C5317" w:rsidRPr="002707E3" w14:paraId="7A005CC0" w14:textId="77777777" w:rsidTr="005B6C7F">
        <w:trPr>
          <w:trHeight w:val="20"/>
        </w:trPr>
        <w:tc>
          <w:tcPr>
            <w:tcW w:w="6739" w:type="dxa"/>
            <w:gridSpan w:val="2"/>
            <w:tcBorders>
              <w:top w:val="nil"/>
              <w:left w:val="nil"/>
              <w:bottom w:val="nil"/>
              <w:right w:val="nil"/>
            </w:tcBorders>
            <w:shd w:val="clear" w:color="auto" w:fill="auto"/>
            <w:noWrap/>
            <w:vAlign w:val="center"/>
            <w:hideMark/>
          </w:tcPr>
          <w:p w14:paraId="3C413C28" w14:textId="77777777" w:rsidR="003C5317" w:rsidRPr="002707E3" w:rsidRDefault="003C5317" w:rsidP="005B6C7F">
            <w:pPr>
              <w:spacing w:after="0" w:line="240" w:lineRule="auto"/>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2.5 Otros Ingresos y Beneficios Varios</w:t>
            </w:r>
          </w:p>
        </w:tc>
        <w:tc>
          <w:tcPr>
            <w:tcW w:w="2045" w:type="dxa"/>
            <w:tcBorders>
              <w:top w:val="nil"/>
              <w:left w:val="nil"/>
              <w:bottom w:val="nil"/>
              <w:right w:val="nil"/>
            </w:tcBorders>
            <w:shd w:val="clear" w:color="auto" w:fill="auto"/>
            <w:noWrap/>
            <w:vAlign w:val="center"/>
            <w:hideMark/>
          </w:tcPr>
          <w:p w14:paraId="2DADA785" w14:textId="77777777" w:rsidR="003C5317" w:rsidRPr="002707E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0.00</w:t>
            </w:r>
          </w:p>
        </w:tc>
      </w:tr>
      <w:tr w:rsidR="003C5317" w:rsidRPr="002707E3" w14:paraId="01FFEEB4" w14:textId="77777777" w:rsidTr="005B6C7F">
        <w:trPr>
          <w:trHeight w:val="20"/>
        </w:trPr>
        <w:tc>
          <w:tcPr>
            <w:tcW w:w="6739" w:type="dxa"/>
            <w:gridSpan w:val="2"/>
            <w:tcBorders>
              <w:top w:val="nil"/>
              <w:left w:val="nil"/>
              <w:bottom w:val="nil"/>
              <w:right w:val="nil"/>
            </w:tcBorders>
            <w:shd w:val="clear" w:color="auto" w:fill="auto"/>
            <w:noWrap/>
            <w:vAlign w:val="center"/>
            <w:hideMark/>
          </w:tcPr>
          <w:p w14:paraId="7AF31DDE" w14:textId="77777777" w:rsidR="003C5317" w:rsidRPr="002707E3" w:rsidRDefault="003C5317" w:rsidP="005B6C7F">
            <w:pPr>
              <w:spacing w:after="0" w:line="240" w:lineRule="auto"/>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2.6 Otros Ingresos Contables No Presupuestarios</w:t>
            </w:r>
          </w:p>
        </w:tc>
        <w:tc>
          <w:tcPr>
            <w:tcW w:w="2045" w:type="dxa"/>
            <w:tcBorders>
              <w:top w:val="nil"/>
              <w:left w:val="nil"/>
              <w:bottom w:val="single" w:sz="8" w:space="0" w:color="auto"/>
              <w:right w:val="nil"/>
            </w:tcBorders>
            <w:shd w:val="clear" w:color="auto" w:fill="auto"/>
            <w:noWrap/>
            <w:vAlign w:val="center"/>
            <w:hideMark/>
          </w:tcPr>
          <w:p w14:paraId="5BCDD20C" w14:textId="77777777" w:rsidR="003C5317" w:rsidRPr="002707E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0.00</w:t>
            </w:r>
          </w:p>
        </w:tc>
      </w:tr>
      <w:tr w:rsidR="003C5317" w:rsidRPr="002707E3" w14:paraId="6FE7978B" w14:textId="77777777" w:rsidTr="005B6C7F">
        <w:trPr>
          <w:trHeight w:val="20"/>
        </w:trPr>
        <w:tc>
          <w:tcPr>
            <w:tcW w:w="6739" w:type="dxa"/>
            <w:gridSpan w:val="2"/>
            <w:tcBorders>
              <w:top w:val="single" w:sz="8" w:space="0" w:color="auto"/>
              <w:left w:val="nil"/>
              <w:bottom w:val="single" w:sz="8" w:space="0" w:color="auto"/>
              <w:right w:val="nil"/>
            </w:tcBorders>
            <w:shd w:val="clear" w:color="000000" w:fill="BFBFBF"/>
            <w:noWrap/>
            <w:vAlign w:val="center"/>
            <w:hideMark/>
          </w:tcPr>
          <w:p w14:paraId="527528C9" w14:textId="77777777" w:rsidR="003C5317" w:rsidRPr="002707E3"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2707E3">
              <w:rPr>
                <w:rFonts w:ascii="Arial" w:eastAsia="Times New Roman" w:hAnsi="Arial" w:cs="Arial"/>
                <w:b/>
                <w:bCs/>
                <w:color w:val="000000"/>
                <w:kern w:val="0"/>
                <w:sz w:val="20"/>
                <w:szCs w:val="20"/>
                <w:lang w:eastAsia="es-MX"/>
                <w14:ligatures w14:val="none"/>
              </w:rPr>
              <w:lastRenderedPageBreak/>
              <w:t xml:space="preserve">3. Menos ingresos presupuestarios no contables </w:t>
            </w:r>
          </w:p>
        </w:tc>
        <w:tc>
          <w:tcPr>
            <w:tcW w:w="2045" w:type="dxa"/>
            <w:tcBorders>
              <w:top w:val="nil"/>
              <w:left w:val="nil"/>
              <w:bottom w:val="single" w:sz="8" w:space="0" w:color="auto"/>
              <w:right w:val="nil"/>
            </w:tcBorders>
            <w:shd w:val="clear" w:color="000000" w:fill="BFBFBF"/>
            <w:noWrap/>
            <w:vAlign w:val="center"/>
            <w:hideMark/>
          </w:tcPr>
          <w:p w14:paraId="73AA861A" w14:textId="77777777" w:rsidR="003C5317" w:rsidRPr="002707E3" w:rsidRDefault="003C5317" w:rsidP="005B6C7F">
            <w:pPr>
              <w:spacing w:after="0" w:line="240" w:lineRule="auto"/>
              <w:jc w:val="right"/>
              <w:rPr>
                <w:rFonts w:ascii="Arial" w:eastAsia="Times New Roman" w:hAnsi="Arial" w:cs="Arial"/>
                <w:b/>
                <w:bCs/>
                <w:color w:val="000000"/>
                <w:kern w:val="0"/>
                <w:sz w:val="20"/>
                <w:szCs w:val="20"/>
                <w:lang w:eastAsia="es-MX"/>
                <w14:ligatures w14:val="none"/>
              </w:rPr>
            </w:pPr>
            <w:r w:rsidRPr="002707E3">
              <w:rPr>
                <w:rFonts w:ascii="Arial" w:eastAsia="Times New Roman" w:hAnsi="Arial" w:cs="Arial"/>
                <w:b/>
                <w:bCs/>
                <w:color w:val="000000"/>
                <w:kern w:val="0"/>
                <w:sz w:val="20"/>
                <w:szCs w:val="20"/>
                <w:lang w:eastAsia="es-MX"/>
                <w14:ligatures w14:val="none"/>
              </w:rPr>
              <w:t>0.00</w:t>
            </w:r>
          </w:p>
        </w:tc>
      </w:tr>
      <w:tr w:rsidR="003C5317" w:rsidRPr="002707E3" w14:paraId="4ACA1CA7" w14:textId="77777777" w:rsidTr="005B6C7F">
        <w:trPr>
          <w:trHeight w:val="20"/>
        </w:trPr>
        <w:tc>
          <w:tcPr>
            <w:tcW w:w="6543" w:type="dxa"/>
            <w:tcBorders>
              <w:top w:val="nil"/>
              <w:left w:val="nil"/>
              <w:bottom w:val="nil"/>
              <w:right w:val="nil"/>
            </w:tcBorders>
            <w:shd w:val="clear" w:color="auto" w:fill="auto"/>
            <w:noWrap/>
            <w:vAlign w:val="center"/>
            <w:hideMark/>
          </w:tcPr>
          <w:p w14:paraId="22AD9254" w14:textId="77777777" w:rsidR="003C5317" w:rsidRPr="002707E3" w:rsidRDefault="003C5317" w:rsidP="005B6C7F">
            <w:pPr>
              <w:spacing w:after="0" w:line="240" w:lineRule="auto"/>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3.1 Aprovechamientos patrimoniales</w:t>
            </w:r>
          </w:p>
        </w:tc>
        <w:tc>
          <w:tcPr>
            <w:tcW w:w="196" w:type="dxa"/>
            <w:tcBorders>
              <w:top w:val="nil"/>
              <w:left w:val="nil"/>
              <w:bottom w:val="nil"/>
              <w:right w:val="nil"/>
            </w:tcBorders>
            <w:shd w:val="clear" w:color="auto" w:fill="auto"/>
            <w:noWrap/>
            <w:vAlign w:val="center"/>
            <w:hideMark/>
          </w:tcPr>
          <w:p w14:paraId="77D36A77" w14:textId="77777777" w:rsidR="003C5317" w:rsidRPr="002707E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2045" w:type="dxa"/>
            <w:tcBorders>
              <w:top w:val="nil"/>
              <w:left w:val="nil"/>
              <w:bottom w:val="nil"/>
              <w:right w:val="nil"/>
            </w:tcBorders>
            <w:shd w:val="clear" w:color="auto" w:fill="auto"/>
            <w:noWrap/>
            <w:vAlign w:val="center"/>
            <w:hideMark/>
          </w:tcPr>
          <w:p w14:paraId="04A86227" w14:textId="77777777" w:rsidR="003C5317" w:rsidRPr="002707E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0.00</w:t>
            </w:r>
          </w:p>
        </w:tc>
      </w:tr>
      <w:tr w:rsidR="003C5317" w:rsidRPr="002707E3" w14:paraId="70C2477D" w14:textId="77777777" w:rsidTr="005B6C7F">
        <w:trPr>
          <w:trHeight w:val="20"/>
        </w:trPr>
        <w:tc>
          <w:tcPr>
            <w:tcW w:w="6739" w:type="dxa"/>
            <w:gridSpan w:val="2"/>
            <w:tcBorders>
              <w:top w:val="nil"/>
              <w:left w:val="nil"/>
              <w:bottom w:val="nil"/>
              <w:right w:val="nil"/>
            </w:tcBorders>
            <w:shd w:val="clear" w:color="auto" w:fill="auto"/>
            <w:noWrap/>
            <w:vAlign w:val="center"/>
            <w:hideMark/>
          </w:tcPr>
          <w:p w14:paraId="46BA0C22" w14:textId="77777777" w:rsidR="003C5317" w:rsidRPr="002707E3" w:rsidRDefault="003C5317" w:rsidP="005B6C7F">
            <w:pPr>
              <w:spacing w:after="0" w:line="240" w:lineRule="auto"/>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3.2 Ingresos derivados de financiamientos</w:t>
            </w:r>
          </w:p>
        </w:tc>
        <w:tc>
          <w:tcPr>
            <w:tcW w:w="2045" w:type="dxa"/>
            <w:tcBorders>
              <w:top w:val="nil"/>
              <w:left w:val="nil"/>
              <w:bottom w:val="nil"/>
              <w:right w:val="nil"/>
            </w:tcBorders>
            <w:shd w:val="clear" w:color="auto" w:fill="auto"/>
            <w:noWrap/>
            <w:vAlign w:val="center"/>
            <w:hideMark/>
          </w:tcPr>
          <w:p w14:paraId="6A70498B" w14:textId="77777777" w:rsidR="003C5317" w:rsidRPr="002707E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0.00</w:t>
            </w:r>
          </w:p>
        </w:tc>
      </w:tr>
      <w:tr w:rsidR="003C5317" w:rsidRPr="002707E3" w14:paraId="112892B3" w14:textId="77777777" w:rsidTr="005B6C7F">
        <w:trPr>
          <w:trHeight w:val="20"/>
        </w:trPr>
        <w:tc>
          <w:tcPr>
            <w:tcW w:w="6739" w:type="dxa"/>
            <w:gridSpan w:val="2"/>
            <w:tcBorders>
              <w:top w:val="nil"/>
              <w:left w:val="nil"/>
              <w:bottom w:val="single" w:sz="4" w:space="0" w:color="auto"/>
              <w:right w:val="nil"/>
            </w:tcBorders>
            <w:shd w:val="clear" w:color="auto" w:fill="auto"/>
            <w:noWrap/>
            <w:vAlign w:val="center"/>
            <w:hideMark/>
          </w:tcPr>
          <w:p w14:paraId="683D7920" w14:textId="77777777" w:rsidR="003C5317" w:rsidRPr="002707E3" w:rsidRDefault="003C5317" w:rsidP="005B6C7F">
            <w:pPr>
              <w:spacing w:after="0" w:line="240" w:lineRule="auto"/>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3.3 Otros ingresos presupuestarios no contables</w:t>
            </w:r>
          </w:p>
        </w:tc>
        <w:tc>
          <w:tcPr>
            <w:tcW w:w="2045" w:type="dxa"/>
            <w:tcBorders>
              <w:top w:val="nil"/>
              <w:left w:val="nil"/>
              <w:bottom w:val="single" w:sz="4" w:space="0" w:color="auto"/>
              <w:right w:val="nil"/>
            </w:tcBorders>
            <w:shd w:val="clear" w:color="auto" w:fill="auto"/>
            <w:noWrap/>
            <w:vAlign w:val="center"/>
            <w:hideMark/>
          </w:tcPr>
          <w:p w14:paraId="195C9E10" w14:textId="77777777" w:rsidR="003C5317" w:rsidRPr="002707E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0.00</w:t>
            </w:r>
          </w:p>
        </w:tc>
      </w:tr>
      <w:tr w:rsidR="003C5317" w:rsidRPr="005732FC" w14:paraId="2094E4AF" w14:textId="77777777" w:rsidTr="005B6C7F">
        <w:trPr>
          <w:trHeight w:val="20"/>
        </w:trPr>
        <w:tc>
          <w:tcPr>
            <w:tcW w:w="6543" w:type="dxa"/>
            <w:tcBorders>
              <w:top w:val="single" w:sz="4" w:space="0" w:color="auto"/>
              <w:left w:val="nil"/>
              <w:bottom w:val="single" w:sz="8" w:space="0" w:color="auto"/>
              <w:right w:val="nil"/>
            </w:tcBorders>
            <w:shd w:val="clear" w:color="000000" w:fill="BFBFBF"/>
            <w:noWrap/>
            <w:vAlign w:val="center"/>
            <w:hideMark/>
          </w:tcPr>
          <w:p w14:paraId="5C908A0F" w14:textId="77777777" w:rsidR="003C5317" w:rsidRPr="002707E3"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2707E3">
              <w:rPr>
                <w:rFonts w:ascii="Arial" w:eastAsia="Times New Roman" w:hAnsi="Arial" w:cs="Arial"/>
                <w:b/>
                <w:bCs/>
                <w:color w:val="000000"/>
                <w:kern w:val="0"/>
                <w:sz w:val="20"/>
                <w:szCs w:val="20"/>
                <w:lang w:eastAsia="es-MX"/>
                <w14:ligatures w14:val="none"/>
              </w:rPr>
              <w:t>4. Total de Ingresos Contables</w:t>
            </w:r>
          </w:p>
        </w:tc>
        <w:tc>
          <w:tcPr>
            <w:tcW w:w="196" w:type="dxa"/>
            <w:tcBorders>
              <w:top w:val="single" w:sz="4" w:space="0" w:color="auto"/>
              <w:left w:val="nil"/>
              <w:bottom w:val="single" w:sz="8" w:space="0" w:color="auto"/>
              <w:right w:val="nil"/>
            </w:tcBorders>
            <w:shd w:val="clear" w:color="000000" w:fill="BFBFBF"/>
            <w:noWrap/>
            <w:vAlign w:val="center"/>
            <w:hideMark/>
          </w:tcPr>
          <w:p w14:paraId="300D41A9" w14:textId="77777777" w:rsidR="003C5317" w:rsidRPr="002707E3"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2707E3">
              <w:rPr>
                <w:rFonts w:ascii="Arial" w:eastAsia="Times New Roman" w:hAnsi="Arial" w:cs="Arial"/>
                <w:b/>
                <w:bCs/>
                <w:color w:val="000000"/>
                <w:kern w:val="0"/>
                <w:sz w:val="20"/>
                <w:szCs w:val="20"/>
                <w:lang w:eastAsia="es-MX"/>
                <w14:ligatures w14:val="none"/>
              </w:rPr>
              <w:t> </w:t>
            </w:r>
          </w:p>
        </w:tc>
        <w:tc>
          <w:tcPr>
            <w:tcW w:w="2045" w:type="dxa"/>
            <w:tcBorders>
              <w:top w:val="single" w:sz="4" w:space="0" w:color="auto"/>
              <w:left w:val="nil"/>
              <w:bottom w:val="single" w:sz="8" w:space="0" w:color="auto"/>
              <w:right w:val="nil"/>
            </w:tcBorders>
            <w:shd w:val="clear" w:color="000000" w:fill="BFBFBF"/>
            <w:noWrap/>
            <w:vAlign w:val="center"/>
            <w:hideMark/>
          </w:tcPr>
          <w:p w14:paraId="079CAC91" w14:textId="00F8F62A" w:rsidR="003C5317" w:rsidRPr="005732FC" w:rsidRDefault="002D218A" w:rsidP="005B6C7F">
            <w:pPr>
              <w:spacing w:after="0" w:line="240" w:lineRule="auto"/>
              <w:jc w:val="right"/>
              <w:rPr>
                <w:rFonts w:ascii="Arial" w:eastAsia="Times New Roman" w:hAnsi="Arial" w:cs="Arial"/>
                <w:b/>
                <w:bCs/>
                <w:color w:val="000000"/>
                <w:kern w:val="0"/>
                <w:sz w:val="20"/>
                <w:szCs w:val="20"/>
                <w:lang w:eastAsia="es-MX"/>
                <w14:ligatures w14:val="none"/>
              </w:rPr>
            </w:pPr>
            <w:r w:rsidRPr="002707E3">
              <w:rPr>
                <w:rFonts w:ascii="Arial" w:eastAsia="Times New Roman" w:hAnsi="Arial" w:cs="Arial"/>
                <w:b/>
                <w:bCs/>
                <w:color w:val="000000"/>
                <w:kern w:val="0"/>
                <w:sz w:val="20"/>
                <w:szCs w:val="20"/>
                <w:lang w:eastAsia="es-MX"/>
                <w14:ligatures w14:val="none"/>
              </w:rPr>
              <w:t>4,503,951,434.5</w:t>
            </w:r>
            <w:r w:rsidR="002707E3" w:rsidRPr="002707E3">
              <w:rPr>
                <w:rFonts w:ascii="Arial" w:eastAsia="Times New Roman" w:hAnsi="Arial" w:cs="Arial"/>
                <w:b/>
                <w:bCs/>
                <w:color w:val="000000"/>
                <w:kern w:val="0"/>
                <w:sz w:val="20"/>
                <w:szCs w:val="20"/>
                <w:lang w:eastAsia="es-MX"/>
                <w14:ligatures w14:val="none"/>
              </w:rPr>
              <w:t>3</w:t>
            </w:r>
          </w:p>
        </w:tc>
      </w:tr>
    </w:tbl>
    <w:p w14:paraId="37191860" w14:textId="4CB83B3F" w:rsidR="00C9563D" w:rsidRPr="005732FC" w:rsidRDefault="00C9563D" w:rsidP="003C5317">
      <w:pPr>
        <w:rPr>
          <w:rFonts w:ascii="Arial" w:hAnsi="Arial" w:cs="Arial"/>
          <w:sz w:val="20"/>
          <w:szCs w:val="20"/>
        </w:rPr>
      </w:pPr>
      <w:r w:rsidRPr="005732FC">
        <w:rPr>
          <w:rFonts w:ascii="Arial" w:hAnsi="Arial" w:cs="Arial"/>
          <w:b/>
          <w:bCs/>
          <w:sz w:val="20"/>
          <w:szCs w:val="20"/>
        </w:rPr>
        <w:t xml:space="preserve"> </w:t>
      </w:r>
    </w:p>
    <w:p w14:paraId="3275EA13" w14:textId="349AF0EA" w:rsidR="007F03C5" w:rsidRPr="005732FC" w:rsidRDefault="00BA3347" w:rsidP="005D2B3E">
      <w:pPr>
        <w:pStyle w:val="Ttulo2"/>
        <w:numPr>
          <w:ilvl w:val="0"/>
          <w:numId w:val="20"/>
        </w:numPr>
        <w:ind w:left="0"/>
        <w:rPr>
          <w:rFonts w:ascii="Arial" w:hAnsi="Arial" w:cs="Arial"/>
          <w:sz w:val="20"/>
          <w:szCs w:val="20"/>
        </w:rPr>
      </w:pPr>
      <w:r w:rsidRPr="005732FC">
        <w:rPr>
          <w:rFonts w:ascii="Arial" w:hAnsi="Arial" w:cs="Arial"/>
          <w:b/>
          <w:bCs/>
          <w:color w:val="auto"/>
          <w:sz w:val="20"/>
          <w:szCs w:val="20"/>
        </w:rPr>
        <w:t>Conciliación entre los egresos presupuestarios y los gastos contables</w:t>
      </w:r>
      <w:r w:rsidRPr="005732FC">
        <w:rPr>
          <w:rFonts w:ascii="Arial" w:hAnsi="Arial" w:cs="Arial"/>
          <w:color w:val="auto"/>
          <w:sz w:val="20"/>
          <w:szCs w:val="20"/>
        </w:rPr>
        <w:t>.</w:t>
      </w:r>
      <w:r w:rsidRPr="005732FC">
        <w:rPr>
          <w:rFonts w:ascii="Arial" w:hAnsi="Arial" w:cs="Arial"/>
          <w:sz w:val="20"/>
          <w:szCs w:val="20"/>
        </w:rPr>
        <w:tab/>
      </w:r>
    </w:p>
    <w:p w14:paraId="1BCA9984" w14:textId="079EA7CB" w:rsidR="00BA3347" w:rsidRPr="005732FC" w:rsidRDefault="00BA3347" w:rsidP="007F03C5">
      <w:pPr>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8781" w:type="dxa"/>
        <w:tblCellMar>
          <w:left w:w="70" w:type="dxa"/>
          <w:right w:w="70" w:type="dxa"/>
        </w:tblCellMar>
        <w:tblLook w:val="04A0" w:firstRow="1" w:lastRow="0" w:firstColumn="1" w:lastColumn="0" w:noHBand="0" w:noVBand="1"/>
      </w:tblPr>
      <w:tblGrid>
        <w:gridCol w:w="3982"/>
        <w:gridCol w:w="167"/>
        <w:gridCol w:w="2934"/>
        <w:gridCol w:w="142"/>
        <w:gridCol w:w="1556"/>
      </w:tblGrid>
      <w:tr w:rsidR="003C5317" w:rsidRPr="00BF1723" w14:paraId="0896C449" w14:textId="77777777" w:rsidTr="005B6C7F">
        <w:trPr>
          <w:trHeight w:val="20"/>
          <w:tblHeader/>
        </w:trPr>
        <w:tc>
          <w:tcPr>
            <w:tcW w:w="8781" w:type="dxa"/>
            <w:gridSpan w:val="5"/>
            <w:tcBorders>
              <w:top w:val="single" w:sz="4" w:space="0" w:color="auto"/>
              <w:left w:val="single" w:sz="4" w:space="0" w:color="auto"/>
              <w:bottom w:val="nil"/>
              <w:right w:val="single" w:sz="4" w:space="0" w:color="auto"/>
            </w:tcBorders>
            <w:shd w:val="clear" w:color="000000" w:fill="BFBFBF"/>
            <w:noWrap/>
            <w:vAlign w:val="center"/>
            <w:hideMark/>
          </w:tcPr>
          <w:p w14:paraId="2B341858" w14:textId="77777777" w:rsidR="003C5317" w:rsidRPr="00BF1723" w:rsidRDefault="003C5317" w:rsidP="005B6C7F">
            <w:pPr>
              <w:spacing w:after="0" w:line="240" w:lineRule="auto"/>
              <w:jc w:val="center"/>
              <w:rPr>
                <w:rFonts w:ascii="Arial" w:eastAsia="Times New Roman" w:hAnsi="Arial" w:cs="Arial"/>
                <w:b/>
                <w:bCs/>
                <w:color w:val="000000"/>
                <w:kern w:val="0"/>
                <w:sz w:val="18"/>
                <w:szCs w:val="18"/>
                <w:lang w:eastAsia="es-MX"/>
                <w14:ligatures w14:val="none"/>
              </w:rPr>
            </w:pPr>
            <w:r w:rsidRPr="00BF1723">
              <w:rPr>
                <w:rFonts w:ascii="Arial" w:eastAsia="Times New Roman" w:hAnsi="Arial" w:cs="Arial"/>
                <w:b/>
                <w:bCs/>
                <w:color w:val="000000"/>
                <w:kern w:val="0"/>
                <w:sz w:val="18"/>
                <w:szCs w:val="18"/>
                <w:lang w:eastAsia="es-MX"/>
                <w14:ligatures w14:val="none"/>
              </w:rPr>
              <w:t>MUNICIPIO DE BENITO JUAREZ</w:t>
            </w:r>
          </w:p>
        </w:tc>
      </w:tr>
      <w:tr w:rsidR="003C5317" w:rsidRPr="00BF1723" w14:paraId="3CCD31CB" w14:textId="77777777" w:rsidTr="005B6C7F">
        <w:trPr>
          <w:trHeight w:val="20"/>
          <w:tblHeader/>
        </w:trPr>
        <w:tc>
          <w:tcPr>
            <w:tcW w:w="8781" w:type="dxa"/>
            <w:gridSpan w:val="5"/>
            <w:tcBorders>
              <w:top w:val="nil"/>
              <w:left w:val="single" w:sz="4" w:space="0" w:color="auto"/>
              <w:bottom w:val="nil"/>
              <w:right w:val="single" w:sz="4" w:space="0" w:color="auto"/>
            </w:tcBorders>
            <w:shd w:val="clear" w:color="000000" w:fill="BFBFBF"/>
            <w:noWrap/>
            <w:vAlign w:val="center"/>
            <w:hideMark/>
          </w:tcPr>
          <w:p w14:paraId="1AF4CF9B" w14:textId="77777777" w:rsidR="003C5317" w:rsidRPr="00BF1723" w:rsidRDefault="003C5317" w:rsidP="005B6C7F">
            <w:pPr>
              <w:spacing w:after="0" w:line="240" w:lineRule="auto"/>
              <w:jc w:val="center"/>
              <w:rPr>
                <w:rFonts w:ascii="Arial" w:eastAsia="Times New Roman" w:hAnsi="Arial" w:cs="Arial"/>
                <w:b/>
                <w:bCs/>
                <w:color w:val="000000"/>
                <w:kern w:val="0"/>
                <w:sz w:val="18"/>
                <w:szCs w:val="18"/>
                <w:lang w:eastAsia="es-MX"/>
                <w14:ligatures w14:val="none"/>
              </w:rPr>
            </w:pPr>
            <w:r w:rsidRPr="00BF1723">
              <w:rPr>
                <w:rFonts w:ascii="Arial" w:eastAsia="Times New Roman" w:hAnsi="Arial" w:cs="Arial"/>
                <w:b/>
                <w:bCs/>
                <w:color w:val="000000"/>
                <w:kern w:val="0"/>
                <w:sz w:val="18"/>
                <w:szCs w:val="18"/>
                <w:lang w:eastAsia="es-MX"/>
                <w14:ligatures w14:val="none"/>
              </w:rPr>
              <w:t>CONCILIACIÓN ENTRE LOS EGRESOS PRESUPUESTARIOS Y LOS GASTOS CONTABLES</w:t>
            </w:r>
          </w:p>
        </w:tc>
      </w:tr>
      <w:tr w:rsidR="003C5317" w:rsidRPr="00BF1723" w14:paraId="2F7E94DF" w14:textId="77777777" w:rsidTr="005B6C7F">
        <w:trPr>
          <w:trHeight w:val="20"/>
          <w:tblHeader/>
        </w:trPr>
        <w:tc>
          <w:tcPr>
            <w:tcW w:w="8781" w:type="dxa"/>
            <w:gridSpan w:val="5"/>
            <w:tcBorders>
              <w:top w:val="nil"/>
              <w:left w:val="single" w:sz="4" w:space="0" w:color="auto"/>
              <w:bottom w:val="nil"/>
              <w:right w:val="single" w:sz="4" w:space="0" w:color="auto"/>
            </w:tcBorders>
            <w:shd w:val="clear" w:color="000000" w:fill="BFBFBF"/>
            <w:noWrap/>
            <w:vAlign w:val="center"/>
            <w:hideMark/>
          </w:tcPr>
          <w:p w14:paraId="26FC1356" w14:textId="207B4DE2" w:rsidR="003C5317" w:rsidRPr="00BF1723" w:rsidRDefault="003C5317" w:rsidP="005B6C7F">
            <w:pPr>
              <w:spacing w:after="0" w:line="240" w:lineRule="auto"/>
              <w:jc w:val="center"/>
              <w:rPr>
                <w:rFonts w:ascii="Arial" w:eastAsia="Times New Roman" w:hAnsi="Arial" w:cs="Arial"/>
                <w:b/>
                <w:bCs/>
                <w:color w:val="000000"/>
                <w:kern w:val="0"/>
                <w:sz w:val="18"/>
                <w:szCs w:val="18"/>
                <w:lang w:eastAsia="es-MX"/>
                <w14:ligatures w14:val="none"/>
              </w:rPr>
            </w:pPr>
            <w:r w:rsidRPr="00BF1723">
              <w:rPr>
                <w:rFonts w:ascii="Arial" w:eastAsia="Times New Roman" w:hAnsi="Arial" w:cs="Arial"/>
                <w:b/>
                <w:bCs/>
                <w:color w:val="000000"/>
                <w:kern w:val="0"/>
                <w:sz w:val="18"/>
                <w:szCs w:val="18"/>
                <w:lang w:eastAsia="es-MX"/>
                <w14:ligatures w14:val="none"/>
              </w:rPr>
              <w:t>DEL 01 DE ENERO AL 3</w:t>
            </w:r>
            <w:r w:rsidR="00A20367" w:rsidRPr="00BF1723">
              <w:rPr>
                <w:rFonts w:ascii="Arial" w:eastAsia="Times New Roman" w:hAnsi="Arial" w:cs="Arial"/>
                <w:b/>
                <w:bCs/>
                <w:color w:val="000000"/>
                <w:kern w:val="0"/>
                <w:sz w:val="18"/>
                <w:szCs w:val="18"/>
                <w:lang w:eastAsia="es-MX"/>
                <w14:ligatures w14:val="none"/>
              </w:rPr>
              <w:t>0</w:t>
            </w:r>
            <w:r w:rsidRPr="00BF1723">
              <w:rPr>
                <w:rFonts w:ascii="Arial" w:eastAsia="Times New Roman" w:hAnsi="Arial" w:cs="Arial"/>
                <w:b/>
                <w:bCs/>
                <w:color w:val="000000"/>
                <w:kern w:val="0"/>
                <w:sz w:val="18"/>
                <w:szCs w:val="18"/>
                <w:lang w:eastAsia="es-MX"/>
                <w14:ligatures w14:val="none"/>
              </w:rPr>
              <w:t xml:space="preserve"> DE </w:t>
            </w:r>
            <w:r w:rsidR="00A20367" w:rsidRPr="00BF1723">
              <w:rPr>
                <w:rFonts w:ascii="Arial" w:eastAsia="Times New Roman" w:hAnsi="Arial" w:cs="Arial"/>
                <w:b/>
                <w:bCs/>
                <w:color w:val="000000"/>
                <w:kern w:val="0"/>
                <w:sz w:val="18"/>
                <w:szCs w:val="18"/>
                <w:lang w:eastAsia="es-MX"/>
                <w14:ligatures w14:val="none"/>
              </w:rPr>
              <w:t>JUNIO</w:t>
            </w:r>
            <w:r w:rsidRPr="00BF1723">
              <w:rPr>
                <w:rFonts w:ascii="Arial" w:eastAsia="Times New Roman" w:hAnsi="Arial" w:cs="Arial"/>
                <w:b/>
                <w:bCs/>
                <w:color w:val="000000"/>
                <w:kern w:val="0"/>
                <w:sz w:val="18"/>
                <w:szCs w:val="18"/>
                <w:lang w:eastAsia="es-MX"/>
                <w14:ligatures w14:val="none"/>
              </w:rPr>
              <w:t xml:space="preserve"> DEL 2025</w:t>
            </w:r>
          </w:p>
        </w:tc>
      </w:tr>
      <w:tr w:rsidR="003C5317" w:rsidRPr="00BF1723" w14:paraId="023BEA90" w14:textId="77777777" w:rsidTr="005B6C7F">
        <w:trPr>
          <w:trHeight w:val="20"/>
          <w:tblHeader/>
        </w:trPr>
        <w:tc>
          <w:tcPr>
            <w:tcW w:w="8781"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2622058E" w14:textId="77777777" w:rsidR="003C5317" w:rsidRPr="00BF1723" w:rsidRDefault="003C5317" w:rsidP="005B6C7F">
            <w:pPr>
              <w:spacing w:after="0" w:line="240" w:lineRule="auto"/>
              <w:jc w:val="center"/>
              <w:rPr>
                <w:rFonts w:ascii="Arial" w:eastAsia="Times New Roman" w:hAnsi="Arial" w:cs="Arial"/>
                <w:b/>
                <w:bCs/>
                <w:color w:val="000000"/>
                <w:kern w:val="0"/>
                <w:sz w:val="18"/>
                <w:szCs w:val="18"/>
                <w:lang w:eastAsia="es-MX"/>
                <w14:ligatures w14:val="none"/>
              </w:rPr>
            </w:pPr>
            <w:r w:rsidRPr="00BF1723">
              <w:rPr>
                <w:rFonts w:ascii="Arial" w:eastAsia="Times New Roman" w:hAnsi="Arial" w:cs="Arial"/>
                <w:b/>
                <w:bCs/>
                <w:color w:val="000000"/>
                <w:kern w:val="0"/>
                <w:sz w:val="18"/>
                <w:szCs w:val="18"/>
                <w:lang w:eastAsia="es-MX"/>
                <w14:ligatures w14:val="none"/>
              </w:rPr>
              <w:t>(CIFRAS EN PESOS)</w:t>
            </w:r>
          </w:p>
        </w:tc>
      </w:tr>
      <w:tr w:rsidR="003C5317" w:rsidRPr="00BF1723" w14:paraId="48485171" w14:textId="77777777" w:rsidTr="005B6C7F">
        <w:trPr>
          <w:trHeight w:val="20"/>
        </w:trPr>
        <w:tc>
          <w:tcPr>
            <w:tcW w:w="7083" w:type="dxa"/>
            <w:gridSpan w:val="3"/>
            <w:tcBorders>
              <w:top w:val="single" w:sz="4" w:space="0" w:color="auto"/>
              <w:left w:val="nil"/>
              <w:bottom w:val="single" w:sz="8" w:space="0" w:color="auto"/>
              <w:right w:val="nil"/>
            </w:tcBorders>
            <w:shd w:val="clear" w:color="000000" w:fill="BFBFBF"/>
            <w:noWrap/>
            <w:vAlign w:val="center"/>
            <w:hideMark/>
          </w:tcPr>
          <w:p w14:paraId="4FA23ED9" w14:textId="77777777" w:rsidR="003C5317" w:rsidRPr="00BF1723"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BF1723">
              <w:rPr>
                <w:rFonts w:ascii="Arial" w:eastAsia="Times New Roman" w:hAnsi="Arial" w:cs="Arial"/>
                <w:b/>
                <w:bCs/>
                <w:color w:val="000000"/>
                <w:kern w:val="0"/>
                <w:sz w:val="20"/>
                <w:szCs w:val="20"/>
                <w:lang w:eastAsia="es-MX"/>
                <w14:ligatures w14:val="none"/>
              </w:rPr>
              <w:t>1. Total de egresos (presupuestarios)</w:t>
            </w:r>
          </w:p>
        </w:tc>
        <w:tc>
          <w:tcPr>
            <w:tcW w:w="1698" w:type="dxa"/>
            <w:gridSpan w:val="2"/>
            <w:tcBorders>
              <w:top w:val="single" w:sz="4" w:space="0" w:color="auto"/>
              <w:left w:val="nil"/>
              <w:bottom w:val="single" w:sz="8" w:space="0" w:color="auto"/>
              <w:right w:val="nil"/>
            </w:tcBorders>
            <w:shd w:val="clear" w:color="000000" w:fill="BFBFBF"/>
            <w:noWrap/>
            <w:vAlign w:val="center"/>
            <w:hideMark/>
          </w:tcPr>
          <w:p w14:paraId="1E51EEF1" w14:textId="7925351D" w:rsidR="003C5317" w:rsidRPr="00BF1723" w:rsidRDefault="00BF1723" w:rsidP="005B6C7F">
            <w:pPr>
              <w:spacing w:after="0" w:line="240" w:lineRule="auto"/>
              <w:jc w:val="right"/>
              <w:rPr>
                <w:rFonts w:ascii="Arial" w:eastAsia="Times New Roman" w:hAnsi="Arial" w:cs="Arial"/>
                <w:b/>
                <w:bCs/>
                <w:color w:val="000000"/>
                <w:kern w:val="0"/>
                <w:sz w:val="20"/>
                <w:szCs w:val="20"/>
                <w:lang w:eastAsia="es-MX"/>
                <w14:ligatures w14:val="none"/>
              </w:rPr>
            </w:pPr>
            <w:r w:rsidRPr="00BF1723">
              <w:rPr>
                <w:rFonts w:ascii="Arial" w:eastAsia="Times New Roman" w:hAnsi="Arial" w:cs="Arial"/>
                <w:b/>
                <w:bCs/>
                <w:color w:val="000000"/>
                <w:kern w:val="0"/>
                <w:sz w:val="20"/>
                <w:szCs w:val="20"/>
                <w:lang w:eastAsia="es-MX"/>
                <w14:ligatures w14:val="none"/>
              </w:rPr>
              <w:t>3,228,910,075.81</w:t>
            </w:r>
          </w:p>
        </w:tc>
      </w:tr>
      <w:tr w:rsidR="003C5317" w:rsidRPr="00BF1723" w14:paraId="6048A2EB" w14:textId="77777777" w:rsidTr="005B6C7F">
        <w:trPr>
          <w:trHeight w:val="20"/>
        </w:trPr>
        <w:tc>
          <w:tcPr>
            <w:tcW w:w="7083" w:type="dxa"/>
            <w:gridSpan w:val="3"/>
            <w:tcBorders>
              <w:top w:val="nil"/>
              <w:left w:val="nil"/>
              <w:bottom w:val="single" w:sz="8" w:space="0" w:color="auto"/>
              <w:right w:val="nil"/>
            </w:tcBorders>
            <w:shd w:val="clear" w:color="000000" w:fill="BFBFBF"/>
            <w:noWrap/>
            <w:vAlign w:val="center"/>
            <w:hideMark/>
          </w:tcPr>
          <w:p w14:paraId="1969373E" w14:textId="77777777" w:rsidR="003C5317" w:rsidRPr="00BF1723"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BF1723">
              <w:rPr>
                <w:rFonts w:ascii="Arial" w:eastAsia="Times New Roman" w:hAnsi="Arial" w:cs="Arial"/>
                <w:b/>
                <w:bCs/>
                <w:color w:val="000000"/>
                <w:kern w:val="0"/>
                <w:sz w:val="20"/>
                <w:szCs w:val="20"/>
                <w:lang w:eastAsia="es-MX"/>
                <w14:ligatures w14:val="none"/>
              </w:rPr>
              <w:t>2. Menos egresos presupuestarios no contables</w:t>
            </w:r>
          </w:p>
        </w:tc>
        <w:tc>
          <w:tcPr>
            <w:tcW w:w="1698" w:type="dxa"/>
            <w:gridSpan w:val="2"/>
            <w:tcBorders>
              <w:top w:val="nil"/>
              <w:left w:val="nil"/>
              <w:bottom w:val="single" w:sz="8" w:space="0" w:color="auto"/>
              <w:right w:val="nil"/>
            </w:tcBorders>
            <w:shd w:val="clear" w:color="000000" w:fill="BFBFBF"/>
            <w:noWrap/>
            <w:vAlign w:val="center"/>
            <w:hideMark/>
          </w:tcPr>
          <w:p w14:paraId="7478FB2B" w14:textId="026696EB" w:rsidR="003C5317" w:rsidRPr="00BF1723" w:rsidRDefault="002D218A" w:rsidP="005B6C7F">
            <w:pPr>
              <w:spacing w:after="0" w:line="240" w:lineRule="auto"/>
              <w:jc w:val="right"/>
              <w:rPr>
                <w:rFonts w:ascii="Arial" w:eastAsia="Times New Roman" w:hAnsi="Arial" w:cs="Arial"/>
                <w:b/>
                <w:bCs/>
                <w:color w:val="000000"/>
                <w:kern w:val="0"/>
                <w:sz w:val="20"/>
                <w:szCs w:val="20"/>
                <w:lang w:eastAsia="es-MX"/>
                <w14:ligatures w14:val="none"/>
              </w:rPr>
            </w:pPr>
            <w:r w:rsidRPr="00BF1723">
              <w:rPr>
                <w:rFonts w:ascii="Arial" w:eastAsia="Times New Roman" w:hAnsi="Arial" w:cs="Arial"/>
                <w:b/>
                <w:bCs/>
                <w:color w:val="000000"/>
                <w:kern w:val="0"/>
                <w:sz w:val="20"/>
                <w:szCs w:val="20"/>
                <w:lang w:eastAsia="es-MX"/>
                <w14:ligatures w14:val="none"/>
              </w:rPr>
              <w:t>25,</w:t>
            </w:r>
            <w:r w:rsidR="00BF1723" w:rsidRPr="00BF1723">
              <w:rPr>
                <w:rFonts w:ascii="Arial" w:eastAsia="Times New Roman" w:hAnsi="Arial" w:cs="Arial"/>
                <w:b/>
                <w:bCs/>
                <w:color w:val="000000"/>
                <w:kern w:val="0"/>
                <w:sz w:val="20"/>
                <w:szCs w:val="20"/>
                <w:lang w:eastAsia="es-MX"/>
                <w14:ligatures w14:val="none"/>
              </w:rPr>
              <w:t>532,709.65</w:t>
            </w:r>
          </w:p>
        </w:tc>
      </w:tr>
      <w:tr w:rsidR="003C5317" w:rsidRPr="00BF1723" w14:paraId="31C5674A" w14:textId="77777777" w:rsidTr="005B6C7F">
        <w:trPr>
          <w:trHeight w:val="20"/>
        </w:trPr>
        <w:tc>
          <w:tcPr>
            <w:tcW w:w="7083" w:type="dxa"/>
            <w:gridSpan w:val="3"/>
            <w:tcBorders>
              <w:top w:val="single" w:sz="8" w:space="0" w:color="auto"/>
              <w:left w:val="nil"/>
              <w:bottom w:val="nil"/>
              <w:right w:val="nil"/>
            </w:tcBorders>
            <w:shd w:val="clear" w:color="auto" w:fill="auto"/>
            <w:vAlign w:val="bottom"/>
            <w:hideMark/>
          </w:tcPr>
          <w:p w14:paraId="5D9F0CC7"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2.1 Materias Primas y Materiales de Producción y Comercialización</w:t>
            </w:r>
          </w:p>
        </w:tc>
        <w:tc>
          <w:tcPr>
            <w:tcW w:w="1698" w:type="dxa"/>
            <w:gridSpan w:val="2"/>
            <w:tcBorders>
              <w:top w:val="nil"/>
              <w:left w:val="nil"/>
              <w:bottom w:val="nil"/>
              <w:right w:val="nil"/>
            </w:tcBorders>
            <w:shd w:val="clear" w:color="auto" w:fill="auto"/>
            <w:vAlign w:val="bottom"/>
            <w:hideMark/>
          </w:tcPr>
          <w:p w14:paraId="39BA0E5A"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0ED50597" w14:textId="77777777" w:rsidTr="005B6C7F">
        <w:trPr>
          <w:trHeight w:val="20"/>
        </w:trPr>
        <w:tc>
          <w:tcPr>
            <w:tcW w:w="4149" w:type="dxa"/>
            <w:gridSpan w:val="2"/>
            <w:tcBorders>
              <w:top w:val="nil"/>
              <w:left w:val="nil"/>
              <w:bottom w:val="nil"/>
              <w:right w:val="nil"/>
            </w:tcBorders>
            <w:shd w:val="clear" w:color="auto" w:fill="auto"/>
            <w:noWrap/>
            <w:vAlign w:val="bottom"/>
            <w:hideMark/>
          </w:tcPr>
          <w:p w14:paraId="7D185E7E"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2.2 Materiales y Suministros</w:t>
            </w:r>
          </w:p>
        </w:tc>
        <w:tc>
          <w:tcPr>
            <w:tcW w:w="2934" w:type="dxa"/>
            <w:tcBorders>
              <w:top w:val="nil"/>
              <w:left w:val="nil"/>
              <w:bottom w:val="nil"/>
              <w:right w:val="nil"/>
            </w:tcBorders>
            <w:shd w:val="clear" w:color="auto" w:fill="auto"/>
            <w:vAlign w:val="bottom"/>
            <w:hideMark/>
          </w:tcPr>
          <w:p w14:paraId="2AEDF518"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05E07429"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2D218A" w:rsidRPr="00BF1723" w14:paraId="1177EA66" w14:textId="77777777" w:rsidTr="005B6C7F">
        <w:trPr>
          <w:trHeight w:val="20"/>
        </w:trPr>
        <w:tc>
          <w:tcPr>
            <w:tcW w:w="7083" w:type="dxa"/>
            <w:gridSpan w:val="3"/>
            <w:tcBorders>
              <w:top w:val="nil"/>
              <w:left w:val="nil"/>
              <w:bottom w:val="nil"/>
              <w:right w:val="nil"/>
            </w:tcBorders>
            <w:shd w:val="clear" w:color="auto" w:fill="auto"/>
            <w:noWrap/>
            <w:vAlign w:val="bottom"/>
            <w:hideMark/>
          </w:tcPr>
          <w:p w14:paraId="1D442A47" w14:textId="77777777" w:rsidR="002D218A" w:rsidRPr="00BF1723" w:rsidRDefault="002D218A" w:rsidP="002D218A">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2.3 Mobiliario y Equipo de Administración</w:t>
            </w:r>
          </w:p>
        </w:tc>
        <w:tc>
          <w:tcPr>
            <w:tcW w:w="1698" w:type="dxa"/>
            <w:gridSpan w:val="2"/>
            <w:tcBorders>
              <w:top w:val="nil"/>
              <w:left w:val="nil"/>
              <w:bottom w:val="nil"/>
              <w:right w:val="nil"/>
            </w:tcBorders>
            <w:shd w:val="clear" w:color="auto" w:fill="auto"/>
            <w:hideMark/>
          </w:tcPr>
          <w:p w14:paraId="5B16B704" w14:textId="259DBFB0" w:rsidR="002D218A" w:rsidRPr="00BF1723" w:rsidRDefault="002D218A" w:rsidP="002D218A">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hAnsi="Arial" w:cs="Arial"/>
                <w:kern w:val="0"/>
                <w:sz w:val="18"/>
                <w:szCs w:val="18"/>
              </w:rPr>
              <w:t>279,970.95</w:t>
            </w:r>
          </w:p>
        </w:tc>
      </w:tr>
      <w:tr w:rsidR="002D218A" w:rsidRPr="00BF1723" w14:paraId="20003086" w14:textId="77777777" w:rsidTr="005B6C7F">
        <w:trPr>
          <w:trHeight w:val="20"/>
        </w:trPr>
        <w:tc>
          <w:tcPr>
            <w:tcW w:w="7083" w:type="dxa"/>
            <w:gridSpan w:val="3"/>
            <w:tcBorders>
              <w:top w:val="nil"/>
              <w:left w:val="nil"/>
              <w:bottom w:val="nil"/>
              <w:right w:val="nil"/>
            </w:tcBorders>
            <w:shd w:val="clear" w:color="auto" w:fill="auto"/>
            <w:noWrap/>
            <w:vAlign w:val="bottom"/>
            <w:hideMark/>
          </w:tcPr>
          <w:p w14:paraId="40680BA5" w14:textId="77777777" w:rsidR="002D218A" w:rsidRPr="00BF1723" w:rsidRDefault="002D218A" w:rsidP="002D218A">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2.4 Mobiliario y Equipo Educacional y Recreativo</w:t>
            </w:r>
          </w:p>
        </w:tc>
        <w:tc>
          <w:tcPr>
            <w:tcW w:w="1698" w:type="dxa"/>
            <w:gridSpan w:val="2"/>
            <w:tcBorders>
              <w:top w:val="nil"/>
              <w:left w:val="nil"/>
              <w:bottom w:val="nil"/>
              <w:right w:val="nil"/>
            </w:tcBorders>
            <w:shd w:val="clear" w:color="auto" w:fill="auto"/>
            <w:hideMark/>
          </w:tcPr>
          <w:p w14:paraId="72938271" w14:textId="49C9FAF5" w:rsidR="002D218A" w:rsidRPr="00BF1723" w:rsidRDefault="002D218A" w:rsidP="002D218A">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hAnsi="Arial" w:cs="Arial"/>
                <w:kern w:val="0"/>
                <w:sz w:val="18"/>
                <w:szCs w:val="18"/>
              </w:rPr>
              <w:t>260,447.26</w:t>
            </w:r>
          </w:p>
        </w:tc>
      </w:tr>
      <w:tr w:rsidR="003C5317" w:rsidRPr="00BF1723" w14:paraId="62E63589" w14:textId="77777777" w:rsidTr="005B6C7F">
        <w:trPr>
          <w:trHeight w:val="20"/>
        </w:trPr>
        <w:tc>
          <w:tcPr>
            <w:tcW w:w="7083" w:type="dxa"/>
            <w:gridSpan w:val="3"/>
            <w:tcBorders>
              <w:top w:val="nil"/>
              <w:left w:val="nil"/>
              <w:bottom w:val="nil"/>
              <w:right w:val="nil"/>
            </w:tcBorders>
            <w:shd w:val="clear" w:color="auto" w:fill="auto"/>
            <w:noWrap/>
            <w:vAlign w:val="bottom"/>
            <w:hideMark/>
          </w:tcPr>
          <w:p w14:paraId="425247BE"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2.5 Equipo e Instrumental Médico y de Laboratorio</w:t>
            </w:r>
          </w:p>
        </w:tc>
        <w:tc>
          <w:tcPr>
            <w:tcW w:w="1698" w:type="dxa"/>
            <w:gridSpan w:val="2"/>
            <w:tcBorders>
              <w:top w:val="nil"/>
              <w:left w:val="nil"/>
              <w:bottom w:val="nil"/>
              <w:right w:val="nil"/>
            </w:tcBorders>
            <w:shd w:val="clear" w:color="auto" w:fill="auto"/>
            <w:vAlign w:val="bottom"/>
            <w:hideMark/>
          </w:tcPr>
          <w:p w14:paraId="69970D4D"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011F2448" w14:textId="77777777" w:rsidTr="005B6C7F">
        <w:trPr>
          <w:trHeight w:val="20"/>
        </w:trPr>
        <w:tc>
          <w:tcPr>
            <w:tcW w:w="4149" w:type="dxa"/>
            <w:gridSpan w:val="2"/>
            <w:tcBorders>
              <w:top w:val="nil"/>
              <w:left w:val="nil"/>
              <w:bottom w:val="nil"/>
              <w:right w:val="nil"/>
            </w:tcBorders>
            <w:shd w:val="clear" w:color="auto" w:fill="auto"/>
            <w:noWrap/>
            <w:vAlign w:val="bottom"/>
            <w:hideMark/>
          </w:tcPr>
          <w:p w14:paraId="34A0BE8F"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2.6 Vehículos y Equipo de Transporte</w:t>
            </w:r>
          </w:p>
        </w:tc>
        <w:tc>
          <w:tcPr>
            <w:tcW w:w="2934" w:type="dxa"/>
            <w:tcBorders>
              <w:top w:val="nil"/>
              <w:left w:val="nil"/>
              <w:bottom w:val="nil"/>
              <w:right w:val="nil"/>
            </w:tcBorders>
            <w:shd w:val="clear" w:color="auto" w:fill="auto"/>
            <w:vAlign w:val="bottom"/>
            <w:hideMark/>
          </w:tcPr>
          <w:p w14:paraId="15BB3C1C"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4AFDAE93" w14:textId="48CC2B4B" w:rsidR="003C5317" w:rsidRPr="00BF1723" w:rsidRDefault="00BF1723"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6,095,307.00</w:t>
            </w:r>
          </w:p>
        </w:tc>
      </w:tr>
      <w:tr w:rsidR="003C5317" w:rsidRPr="00BF1723" w14:paraId="66DBD8AB" w14:textId="77777777" w:rsidTr="005B6C7F">
        <w:trPr>
          <w:trHeight w:val="20"/>
        </w:trPr>
        <w:tc>
          <w:tcPr>
            <w:tcW w:w="4149" w:type="dxa"/>
            <w:gridSpan w:val="2"/>
            <w:tcBorders>
              <w:top w:val="nil"/>
              <w:left w:val="nil"/>
              <w:bottom w:val="nil"/>
              <w:right w:val="nil"/>
            </w:tcBorders>
            <w:shd w:val="clear" w:color="auto" w:fill="auto"/>
            <w:noWrap/>
            <w:vAlign w:val="bottom"/>
            <w:hideMark/>
          </w:tcPr>
          <w:p w14:paraId="22BFA0B2"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2.7 Equipo de Defensa y Seguridad</w:t>
            </w:r>
          </w:p>
        </w:tc>
        <w:tc>
          <w:tcPr>
            <w:tcW w:w="2934" w:type="dxa"/>
            <w:tcBorders>
              <w:top w:val="nil"/>
              <w:left w:val="nil"/>
              <w:bottom w:val="nil"/>
              <w:right w:val="nil"/>
            </w:tcBorders>
            <w:shd w:val="clear" w:color="auto" w:fill="auto"/>
            <w:vAlign w:val="bottom"/>
            <w:hideMark/>
          </w:tcPr>
          <w:p w14:paraId="2C848B88"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73E9AE97"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3A2B8217" w14:textId="77777777" w:rsidTr="005B6C7F">
        <w:trPr>
          <w:trHeight w:val="20"/>
        </w:trPr>
        <w:tc>
          <w:tcPr>
            <w:tcW w:w="7083" w:type="dxa"/>
            <w:gridSpan w:val="3"/>
            <w:tcBorders>
              <w:top w:val="nil"/>
              <w:left w:val="nil"/>
              <w:bottom w:val="nil"/>
              <w:right w:val="nil"/>
            </w:tcBorders>
            <w:shd w:val="clear" w:color="auto" w:fill="auto"/>
            <w:noWrap/>
            <w:vAlign w:val="bottom"/>
            <w:hideMark/>
          </w:tcPr>
          <w:p w14:paraId="1B13F975"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2.8 Maquinaria, Otros Equipos y Herramientas</w:t>
            </w:r>
          </w:p>
        </w:tc>
        <w:tc>
          <w:tcPr>
            <w:tcW w:w="1698" w:type="dxa"/>
            <w:gridSpan w:val="2"/>
            <w:tcBorders>
              <w:top w:val="nil"/>
              <w:left w:val="nil"/>
              <w:bottom w:val="nil"/>
              <w:right w:val="nil"/>
            </w:tcBorders>
            <w:shd w:val="clear" w:color="auto" w:fill="auto"/>
            <w:vAlign w:val="bottom"/>
            <w:hideMark/>
          </w:tcPr>
          <w:p w14:paraId="6855AF1B" w14:textId="15992628" w:rsidR="003C5317" w:rsidRPr="00BF1723" w:rsidRDefault="00824448"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205,055.52</w:t>
            </w:r>
          </w:p>
        </w:tc>
      </w:tr>
      <w:tr w:rsidR="003C5317" w:rsidRPr="00BF1723" w14:paraId="564698B7" w14:textId="77777777" w:rsidTr="005B6C7F">
        <w:trPr>
          <w:trHeight w:val="20"/>
        </w:trPr>
        <w:tc>
          <w:tcPr>
            <w:tcW w:w="4149" w:type="dxa"/>
            <w:gridSpan w:val="2"/>
            <w:tcBorders>
              <w:top w:val="nil"/>
              <w:left w:val="nil"/>
              <w:bottom w:val="nil"/>
              <w:right w:val="nil"/>
            </w:tcBorders>
            <w:shd w:val="clear" w:color="auto" w:fill="auto"/>
            <w:noWrap/>
            <w:vAlign w:val="bottom"/>
            <w:hideMark/>
          </w:tcPr>
          <w:p w14:paraId="322A79AF"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2.9 Activos Biológicos</w:t>
            </w:r>
          </w:p>
        </w:tc>
        <w:tc>
          <w:tcPr>
            <w:tcW w:w="2934" w:type="dxa"/>
            <w:tcBorders>
              <w:top w:val="nil"/>
              <w:left w:val="nil"/>
              <w:bottom w:val="nil"/>
              <w:right w:val="nil"/>
            </w:tcBorders>
            <w:shd w:val="clear" w:color="auto" w:fill="auto"/>
            <w:vAlign w:val="bottom"/>
            <w:hideMark/>
          </w:tcPr>
          <w:p w14:paraId="228AF36F"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47A9C064"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3A9FAF38" w14:textId="77777777" w:rsidTr="005B6C7F">
        <w:trPr>
          <w:trHeight w:val="20"/>
        </w:trPr>
        <w:tc>
          <w:tcPr>
            <w:tcW w:w="4149" w:type="dxa"/>
            <w:gridSpan w:val="2"/>
            <w:tcBorders>
              <w:top w:val="nil"/>
              <w:left w:val="nil"/>
              <w:bottom w:val="nil"/>
              <w:right w:val="nil"/>
            </w:tcBorders>
            <w:shd w:val="clear" w:color="auto" w:fill="auto"/>
            <w:noWrap/>
            <w:vAlign w:val="bottom"/>
            <w:hideMark/>
          </w:tcPr>
          <w:p w14:paraId="6D5D7CE5"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2.10 Bienes Inmuebles</w:t>
            </w:r>
          </w:p>
        </w:tc>
        <w:tc>
          <w:tcPr>
            <w:tcW w:w="2934" w:type="dxa"/>
            <w:tcBorders>
              <w:top w:val="nil"/>
              <w:left w:val="nil"/>
              <w:bottom w:val="nil"/>
              <w:right w:val="nil"/>
            </w:tcBorders>
            <w:shd w:val="clear" w:color="auto" w:fill="auto"/>
            <w:vAlign w:val="bottom"/>
            <w:hideMark/>
          </w:tcPr>
          <w:p w14:paraId="368D43EB"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64736968"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2DD34580" w14:textId="77777777" w:rsidTr="005B6C7F">
        <w:trPr>
          <w:trHeight w:val="20"/>
        </w:trPr>
        <w:tc>
          <w:tcPr>
            <w:tcW w:w="4149" w:type="dxa"/>
            <w:gridSpan w:val="2"/>
            <w:tcBorders>
              <w:top w:val="nil"/>
              <w:left w:val="nil"/>
              <w:bottom w:val="nil"/>
              <w:right w:val="nil"/>
            </w:tcBorders>
            <w:shd w:val="clear" w:color="auto" w:fill="auto"/>
            <w:noWrap/>
            <w:vAlign w:val="bottom"/>
            <w:hideMark/>
          </w:tcPr>
          <w:p w14:paraId="1B11DB87"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2.11 Activos Intangibles</w:t>
            </w:r>
          </w:p>
        </w:tc>
        <w:tc>
          <w:tcPr>
            <w:tcW w:w="2934" w:type="dxa"/>
            <w:tcBorders>
              <w:top w:val="nil"/>
              <w:left w:val="nil"/>
              <w:bottom w:val="nil"/>
              <w:right w:val="nil"/>
            </w:tcBorders>
            <w:shd w:val="clear" w:color="auto" w:fill="auto"/>
            <w:vAlign w:val="bottom"/>
            <w:hideMark/>
          </w:tcPr>
          <w:p w14:paraId="171F77E7"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2D4792B0"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35,097.54</w:t>
            </w:r>
          </w:p>
        </w:tc>
      </w:tr>
      <w:tr w:rsidR="003C5317" w:rsidRPr="00BF1723" w14:paraId="45213B27" w14:textId="77777777" w:rsidTr="005B6C7F">
        <w:trPr>
          <w:trHeight w:val="20"/>
        </w:trPr>
        <w:tc>
          <w:tcPr>
            <w:tcW w:w="7083" w:type="dxa"/>
            <w:gridSpan w:val="3"/>
            <w:tcBorders>
              <w:top w:val="nil"/>
              <w:left w:val="nil"/>
              <w:bottom w:val="nil"/>
              <w:right w:val="nil"/>
            </w:tcBorders>
            <w:shd w:val="clear" w:color="auto" w:fill="auto"/>
            <w:noWrap/>
            <w:vAlign w:val="bottom"/>
            <w:hideMark/>
          </w:tcPr>
          <w:p w14:paraId="1D1E17FE"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2.12 Obras Públicas en Bienes de Dominio Público</w:t>
            </w:r>
          </w:p>
        </w:tc>
        <w:tc>
          <w:tcPr>
            <w:tcW w:w="1698" w:type="dxa"/>
            <w:gridSpan w:val="2"/>
            <w:tcBorders>
              <w:top w:val="nil"/>
              <w:left w:val="nil"/>
              <w:bottom w:val="nil"/>
              <w:right w:val="nil"/>
            </w:tcBorders>
            <w:shd w:val="clear" w:color="auto" w:fill="auto"/>
            <w:vAlign w:val="bottom"/>
            <w:hideMark/>
          </w:tcPr>
          <w:p w14:paraId="268B329B"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4F17AEF6" w14:textId="77777777" w:rsidTr="005B6C7F">
        <w:trPr>
          <w:trHeight w:val="20"/>
        </w:trPr>
        <w:tc>
          <w:tcPr>
            <w:tcW w:w="4149" w:type="dxa"/>
            <w:gridSpan w:val="2"/>
            <w:tcBorders>
              <w:top w:val="nil"/>
              <w:left w:val="nil"/>
              <w:bottom w:val="nil"/>
              <w:right w:val="nil"/>
            </w:tcBorders>
            <w:shd w:val="clear" w:color="auto" w:fill="auto"/>
            <w:noWrap/>
            <w:vAlign w:val="bottom"/>
            <w:hideMark/>
          </w:tcPr>
          <w:p w14:paraId="26E70EA7"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2.13 Obra Pública en Bienes Propios</w:t>
            </w:r>
          </w:p>
        </w:tc>
        <w:tc>
          <w:tcPr>
            <w:tcW w:w="2934" w:type="dxa"/>
            <w:tcBorders>
              <w:top w:val="nil"/>
              <w:left w:val="nil"/>
              <w:bottom w:val="nil"/>
              <w:right w:val="nil"/>
            </w:tcBorders>
            <w:shd w:val="clear" w:color="auto" w:fill="auto"/>
            <w:vAlign w:val="bottom"/>
            <w:hideMark/>
          </w:tcPr>
          <w:p w14:paraId="0929DB16"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25C69A3C"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3664FB9A" w14:textId="77777777" w:rsidTr="005B6C7F">
        <w:trPr>
          <w:trHeight w:val="20"/>
        </w:trPr>
        <w:tc>
          <w:tcPr>
            <w:tcW w:w="7083" w:type="dxa"/>
            <w:gridSpan w:val="3"/>
            <w:tcBorders>
              <w:top w:val="nil"/>
              <w:left w:val="nil"/>
              <w:bottom w:val="nil"/>
              <w:right w:val="nil"/>
            </w:tcBorders>
            <w:shd w:val="clear" w:color="auto" w:fill="auto"/>
            <w:noWrap/>
            <w:vAlign w:val="bottom"/>
            <w:hideMark/>
          </w:tcPr>
          <w:p w14:paraId="5A9FF1ED"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2.14 Acciones y Participaciones de Capital</w:t>
            </w:r>
          </w:p>
        </w:tc>
        <w:tc>
          <w:tcPr>
            <w:tcW w:w="1698" w:type="dxa"/>
            <w:gridSpan w:val="2"/>
            <w:tcBorders>
              <w:top w:val="nil"/>
              <w:left w:val="nil"/>
              <w:bottom w:val="nil"/>
              <w:right w:val="nil"/>
            </w:tcBorders>
            <w:shd w:val="clear" w:color="auto" w:fill="auto"/>
            <w:vAlign w:val="bottom"/>
            <w:hideMark/>
          </w:tcPr>
          <w:p w14:paraId="4510F3C7"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38D08C27" w14:textId="77777777" w:rsidTr="005B6C7F">
        <w:trPr>
          <w:trHeight w:val="20"/>
        </w:trPr>
        <w:tc>
          <w:tcPr>
            <w:tcW w:w="4149" w:type="dxa"/>
            <w:gridSpan w:val="2"/>
            <w:tcBorders>
              <w:top w:val="nil"/>
              <w:left w:val="nil"/>
              <w:bottom w:val="nil"/>
              <w:right w:val="nil"/>
            </w:tcBorders>
            <w:shd w:val="clear" w:color="auto" w:fill="auto"/>
            <w:noWrap/>
            <w:vAlign w:val="bottom"/>
            <w:hideMark/>
          </w:tcPr>
          <w:p w14:paraId="5B150269"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2.15 Compra de Títulos y Valores</w:t>
            </w:r>
          </w:p>
        </w:tc>
        <w:tc>
          <w:tcPr>
            <w:tcW w:w="2934" w:type="dxa"/>
            <w:tcBorders>
              <w:top w:val="nil"/>
              <w:left w:val="nil"/>
              <w:bottom w:val="nil"/>
              <w:right w:val="nil"/>
            </w:tcBorders>
            <w:shd w:val="clear" w:color="auto" w:fill="auto"/>
            <w:vAlign w:val="bottom"/>
            <w:hideMark/>
          </w:tcPr>
          <w:p w14:paraId="500A4A37"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35CDF22E"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367FCBF6" w14:textId="77777777" w:rsidTr="005B6C7F">
        <w:trPr>
          <w:trHeight w:val="20"/>
        </w:trPr>
        <w:tc>
          <w:tcPr>
            <w:tcW w:w="4149" w:type="dxa"/>
            <w:gridSpan w:val="2"/>
            <w:tcBorders>
              <w:top w:val="nil"/>
              <w:left w:val="nil"/>
              <w:bottom w:val="nil"/>
              <w:right w:val="nil"/>
            </w:tcBorders>
            <w:shd w:val="clear" w:color="auto" w:fill="auto"/>
            <w:noWrap/>
            <w:vAlign w:val="bottom"/>
            <w:hideMark/>
          </w:tcPr>
          <w:p w14:paraId="339D8BE9"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2.16 Concesión de Préstamos</w:t>
            </w:r>
          </w:p>
        </w:tc>
        <w:tc>
          <w:tcPr>
            <w:tcW w:w="2934" w:type="dxa"/>
            <w:tcBorders>
              <w:top w:val="nil"/>
              <w:left w:val="nil"/>
              <w:bottom w:val="nil"/>
              <w:right w:val="nil"/>
            </w:tcBorders>
            <w:shd w:val="clear" w:color="auto" w:fill="auto"/>
            <w:vAlign w:val="bottom"/>
            <w:hideMark/>
          </w:tcPr>
          <w:p w14:paraId="3E0D3805"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1C2AF182"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225C821E" w14:textId="77777777" w:rsidTr="005B6C7F">
        <w:trPr>
          <w:trHeight w:val="20"/>
        </w:trPr>
        <w:tc>
          <w:tcPr>
            <w:tcW w:w="7083" w:type="dxa"/>
            <w:gridSpan w:val="3"/>
            <w:tcBorders>
              <w:top w:val="nil"/>
              <w:left w:val="nil"/>
              <w:bottom w:val="nil"/>
              <w:right w:val="nil"/>
            </w:tcBorders>
            <w:shd w:val="clear" w:color="auto" w:fill="auto"/>
            <w:noWrap/>
            <w:vAlign w:val="bottom"/>
            <w:hideMark/>
          </w:tcPr>
          <w:p w14:paraId="5FC07DFF"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2.17 Inversiones en Fideicomisos, Mandatos y Otros Análogos</w:t>
            </w:r>
          </w:p>
        </w:tc>
        <w:tc>
          <w:tcPr>
            <w:tcW w:w="1698" w:type="dxa"/>
            <w:gridSpan w:val="2"/>
            <w:tcBorders>
              <w:top w:val="nil"/>
              <w:left w:val="nil"/>
              <w:bottom w:val="nil"/>
              <w:right w:val="nil"/>
            </w:tcBorders>
            <w:shd w:val="clear" w:color="auto" w:fill="auto"/>
            <w:vAlign w:val="bottom"/>
            <w:hideMark/>
          </w:tcPr>
          <w:p w14:paraId="76AE9379"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7E2FE83A" w14:textId="77777777" w:rsidTr="005B6C7F">
        <w:trPr>
          <w:trHeight w:val="20"/>
        </w:trPr>
        <w:tc>
          <w:tcPr>
            <w:tcW w:w="7083" w:type="dxa"/>
            <w:gridSpan w:val="3"/>
            <w:tcBorders>
              <w:top w:val="nil"/>
              <w:left w:val="nil"/>
              <w:bottom w:val="nil"/>
              <w:right w:val="nil"/>
            </w:tcBorders>
            <w:shd w:val="clear" w:color="auto" w:fill="auto"/>
            <w:noWrap/>
            <w:vAlign w:val="bottom"/>
            <w:hideMark/>
          </w:tcPr>
          <w:p w14:paraId="51F887CC"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2.18 Provisiones para Contingencias y Otras Erogaciones Especiales</w:t>
            </w:r>
          </w:p>
        </w:tc>
        <w:tc>
          <w:tcPr>
            <w:tcW w:w="1698" w:type="dxa"/>
            <w:gridSpan w:val="2"/>
            <w:tcBorders>
              <w:top w:val="nil"/>
              <w:left w:val="nil"/>
              <w:bottom w:val="nil"/>
              <w:right w:val="nil"/>
            </w:tcBorders>
            <w:shd w:val="clear" w:color="auto" w:fill="auto"/>
            <w:vAlign w:val="bottom"/>
            <w:hideMark/>
          </w:tcPr>
          <w:p w14:paraId="467E8137"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3B683161" w14:textId="77777777" w:rsidTr="005B6C7F">
        <w:trPr>
          <w:trHeight w:val="20"/>
        </w:trPr>
        <w:tc>
          <w:tcPr>
            <w:tcW w:w="7083" w:type="dxa"/>
            <w:gridSpan w:val="3"/>
            <w:tcBorders>
              <w:top w:val="nil"/>
              <w:left w:val="nil"/>
              <w:bottom w:val="nil"/>
              <w:right w:val="nil"/>
            </w:tcBorders>
            <w:shd w:val="clear" w:color="auto" w:fill="auto"/>
            <w:noWrap/>
            <w:vAlign w:val="bottom"/>
            <w:hideMark/>
          </w:tcPr>
          <w:p w14:paraId="0EED03B1"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2.19 Amortización de la Deuda Pública</w:t>
            </w:r>
          </w:p>
        </w:tc>
        <w:tc>
          <w:tcPr>
            <w:tcW w:w="1698" w:type="dxa"/>
            <w:gridSpan w:val="2"/>
            <w:tcBorders>
              <w:top w:val="nil"/>
              <w:left w:val="nil"/>
              <w:bottom w:val="nil"/>
              <w:right w:val="nil"/>
            </w:tcBorders>
            <w:shd w:val="clear" w:color="auto" w:fill="auto"/>
            <w:vAlign w:val="bottom"/>
            <w:hideMark/>
          </w:tcPr>
          <w:p w14:paraId="35B35247" w14:textId="3E7C0838" w:rsidR="003C5317" w:rsidRPr="00BF1723" w:rsidRDefault="00824448"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18,656,831.38</w:t>
            </w:r>
          </w:p>
        </w:tc>
      </w:tr>
      <w:tr w:rsidR="003C5317" w:rsidRPr="00BF1723" w14:paraId="462A258B" w14:textId="77777777" w:rsidTr="005B6C7F">
        <w:trPr>
          <w:trHeight w:val="20"/>
        </w:trPr>
        <w:tc>
          <w:tcPr>
            <w:tcW w:w="7083" w:type="dxa"/>
            <w:gridSpan w:val="3"/>
            <w:tcBorders>
              <w:top w:val="nil"/>
              <w:left w:val="nil"/>
              <w:bottom w:val="nil"/>
              <w:right w:val="nil"/>
            </w:tcBorders>
            <w:shd w:val="clear" w:color="auto" w:fill="auto"/>
            <w:noWrap/>
            <w:vAlign w:val="bottom"/>
            <w:hideMark/>
          </w:tcPr>
          <w:p w14:paraId="273B29EF"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2.20 Adeudos de Ejercicios Fiscales Anteriores (ADEFAS)</w:t>
            </w:r>
          </w:p>
        </w:tc>
        <w:tc>
          <w:tcPr>
            <w:tcW w:w="1698" w:type="dxa"/>
            <w:gridSpan w:val="2"/>
            <w:tcBorders>
              <w:top w:val="nil"/>
              <w:left w:val="nil"/>
              <w:bottom w:val="nil"/>
              <w:right w:val="nil"/>
            </w:tcBorders>
            <w:shd w:val="clear" w:color="auto" w:fill="auto"/>
            <w:vAlign w:val="bottom"/>
            <w:hideMark/>
          </w:tcPr>
          <w:p w14:paraId="23C48B8B"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374CB931" w14:textId="77777777" w:rsidTr="005B6C7F">
        <w:trPr>
          <w:trHeight w:val="20"/>
        </w:trPr>
        <w:tc>
          <w:tcPr>
            <w:tcW w:w="7083" w:type="dxa"/>
            <w:gridSpan w:val="3"/>
            <w:tcBorders>
              <w:top w:val="nil"/>
              <w:left w:val="nil"/>
              <w:bottom w:val="nil"/>
              <w:right w:val="nil"/>
            </w:tcBorders>
            <w:shd w:val="clear" w:color="auto" w:fill="auto"/>
            <w:noWrap/>
            <w:vAlign w:val="bottom"/>
            <w:hideMark/>
          </w:tcPr>
          <w:p w14:paraId="59EF1B5D"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2.21 Otros Egresos Presupuestarios No Contables</w:t>
            </w:r>
          </w:p>
        </w:tc>
        <w:tc>
          <w:tcPr>
            <w:tcW w:w="1698" w:type="dxa"/>
            <w:gridSpan w:val="2"/>
            <w:tcBorders>
              <w:top w:val="nil"/>
              <w:left w:val="nil"/>
              <w:bottom w:val="nil"/>
              <w:right w:val="nil"/>
            </w:tcBorders>
            <w:shd w:val="clear" w:color="auto" w:fill="auto"/>
            <w:vAlign w:val="bottom"/>
            <w:hideMark/>
          </w:tcPr>
          <w:p w14:paraId="44F99EC5"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60074594" w14:textId="77777777" w:rsidTr="005B6C7F">
        <w:trPr>
          <w:trHeight w:val="20"/>
        </w:trPr>
        <w:tc>
          <w:tcPr>
            <w:tcW w:w="7083" w:type="dxa"/>
            <w:gridSpan w:val="3"/>
            <w:tcBorders>
              <w:top w:val="single" w:sz="8" w:space="0" w:color="auto"/>
              <w:left w:val="nil"/>
              <w:bottom w:val="single" w:sz="8" w:space="0" w:color="auto"/>
              <w:right w:val="nil"/>
            </w:tcBorders>
            <w:shd w:val="clear" w:color="000000" w:fill="BFBFBF"/>
            <w:noWrap/>
            <w:vAlign w:val="center"/>
            <w:hideMark/>
          </w:tcPr>
          <w:p w14:paraId="15696D89" w14:textId="77777777" w:rsidR="003C5317" w:rsidRPr="00BF1723"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BF1723">
              <w:rPr>
                <w:rFonts w:ascii="Arial" w:eastAsia="Times New Roman" w:hAnsi="Arial" w:cs="Arial"/>
                <w:b/>
                <w:bCs/>
                <w:color w:val="000000"/>
                <w:kern w:val="0"/>
                <w:sz w:val="20"/>
                <w:szCs w:val="20"/>
                <w:lang w:eastAsia="es-MX"/>
                <w14:ligatures w14:val="none"/>
              </w:rPr>
              <w:t>3. Más gastos contables no presupuestales</w:t>
            </w:r>
          </w:p>
        </w:tc>
        <w:tc>
          <w:tcPr>
            <w:tcW w:w="1698" w:type="dxa"/>
            <w:gridSpan w:val="2"/>
            <w:tcBorders>
              <w:top w:val="single" w:sz="8" w:space="0" w:color="auto"/>
              <w:left w:val="nil"/>
              <w:bottom w:val="single" w:sz="8" w:space="0" w:color="auto"/>
              <w:right w:val="nil"/>
            </w:tcBorders>
            <w:shd w:val="clear" w:color="000000" w:fill="BFBFBF"/>
            <w:noWrap/>
            <w:vAlign w:val="center"/>
            <w:hideMark/>
          </w:tcPr>
          <w:p w14:paraId="089BE75B" w14:textId="09B76A04" w:rsidR="003C5317" w:rsidRPr="00BF1723" w:rsidRDefault="00824448" w:rsidP="005B6C7F">
            <w:pPr>
              <w:spacing w:after="0" w:line="240" w:lineRule="auto"/>
              <w:jc w:val="right"/>
              <w:rPr>
                <w:rFonts w:ascii="Arial" w:eastAsia="Times New Roman" w:hAnsi="Arial" w:cs="Arial"/>
                <w:b/>
                <w:bCs/>
                <w:color w:val="000000"/>
                <w:kern w:val="0"/>
                <w:sz w:val="20"/>
                <w:szCs w:val="20"/>
                <w:lang w:eastAsia="es-MX"/>
                <w14:ligatures w14:val="none"/>
              </w:rPr>
            </w:pPr>
            <w:r w:rsidRPr="00BF1723">
              <w:rPr>
                <w:rFonts w:ascii="Arial" w:eastAsia="Times New Roman" w:hAnsi="Arial" w:cs="Arial"/>
                <w:b/>
                <w:bCs/>
                <w:color w:val="000000"/>
                <w:kern w:val="0"/>
                <w:sz w:val="20"/>
                <w:szCs w:val="20"/>
                <w:lang w:eastAsia="es-MX"/>
                <w14:ligatures w14:val="none"/>
              </w:rPr>
              <w:t>48,487,876.36</w:t>
            </w:r>
          </w:p>
        </w:tc>
      </w:tr>
      <w:tr w:rsidR="003C5317" w:rsidRPr="00BF1723" w14:paraId="0388763B" w14:textId="77777777" w:rsidTr="005B6C7F">
        <w:trPr>
          <w:trHeight w:val="20"/>
        </w:trPr>
        <w:tc>
          <w:tcPr>
            <w:tcW w:w="7083" w:type="dxa"/>
            <w:gridSpan w:val="3"/>
            <w:tcBorders>
              <w:top w:val="single" w:sz="8" w:space="0" w:color="auto"/>
              <w:left w:val="nil"/>
              <w:bottom w:val="nil"/>
              <w:right w:val="nil"/>
            </w:tcBorders>
            <w:shd w:val="clear" w:color="auto" w:fill="auto"/>
            <w:vAlign w:val="center"/>
            <w:hideMark/>
          </w:tcPr>
          <w:p w14:paraId="12052F76"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3.1 Estimaciones, Depreciaciones, Deterioros, Obsolescencia y Amortizaciones</w:t>
            </w:r>
          </w:p>
        </w:tc>
        <w:tc>
          <w:tcPr>
            <w:tcW w:w="1698" w:type="dxa"/>
            <w:gridSpan w:val="2"/>
            <w:tcBorders>
              <w:top w:val="nil"/>
              <w:left w:val="nil"/>
              <w:bottom w:val="nil"/>
              <w:right w:val="nil"/>
            </w:tcBorders>
            <w:shd w:val="clear" w:color="auto" w:fill="auto"/>
            <w:noWrap/>
            <w:vAlign w:val="center"/>
            <w:hideMark/>
          </w:tcPr>
          <w:p w14:paraId="6BFA7C89" w14:textId="2A37DA03" w:rsidR="003C5317" w:rsidRPr="00BF1723" w:rsidRDefault="00824448"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hAnsi="Arial" w:cs="Arial"/>
                <w:kern w:val="0"/>
                <w:sz w:val="20"/>
                <w:szCs w:val="20"/>
              </w:rPr>
              <w:t>48,487,876.36</w:t>
            </w:r>
          </w:p>
        </w:tc>
      </w:tr>
      <w:tr w:rsidR="003C5317" w:rsidRPr="00BF1723" w14:paraId="0261BB69" w14:textId="77777777" w:rsidTr="005B6C7F">
        <w:trPr>
          <w:trHeight w:val="20"/>
        </w:trPr>
        <w:tc>
          <w:tcPr>
            <w:tcW w:w="3982" w:type="dxa"/>
            <w:tcBorders>
              <w:top w:val="nil"/>
              <w:left w:val="nil"/>
              <w:bottom w:val="nil"/>
              <w:right w:val="nil"/>
            </w:tcBorders>
            <w:shd w:val="clear" w:color="auto" w:fill="auto"/>
            <w:noWrap/>
            <w:vAlign w:val="center"/>
            <w:hideMark/>
          </w:tcPr>
          <w:p w14:paraId="252C5CA0"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3.2 Provisiones</w:t>
            </w:r>
          </w:p>
        </w:tc>
        <w:tc>
          <w:tcPr>
            <w:tcW w:w="167" w:type="dxa"/>
            <w:tcBorders>
              <w:top w:val="nil"/>
              <w:left w:val="nil"/>
              <w:bottom w:val="nil"/>
              <w:right w:val="nil"/>
            </w:tcBorders>
            <w:shd w:val="clear" w:color="auto" w:fill="auto"/>
            <w:noWrap/>
            <w:vAlign w:val="center"/>
            <w:hideMark/>
          </w:tcPr>
          <w:p w14:paraId="31EA1987"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3076" w:type="dxa"/>
            <w:gridSpan w:val="2"/>
            <w:tcBorders>
              <w:top w:val="nil"/>
              <w:left w:val="nil"/>
              <w:bottom w:val="nil"/>
              <w:right w:val="nil"/>
            </w:tcBorders>
            <w:shd w:val="clear" w:color="auto" w:fill="auto"/>
            <w:noWrap/>
            <w:vAlign w:val="center"/>
            <w:hideMark/>
          </w:tcPr>
          <w:p w14:paraId="7CE21ABE" w14:textId="77777777" w:rsidR="003C5317" w:rsidRPr="00BF1723" w:rsidRDefault="003C5317" w:rsidP="005B6C7F">
            <w:pPr>
              <w:spacing w:after="0" w:line="240" w:lineRule="auto"/>
              <w:rPr>
                <w:rFonts w:ascii="Times New Roman" w:eastAsia="Times New Roman" w:hAnsi="Times New Roman" w:cs="Times New Roman"/>
                <w:kern w:val="0"/>
                <w:sz w:val="20"/>
                <w:szCs w:val="20"/>
                <w:lang w:eastAsia="es-MX"/>
                <w14:ligatures w14:val="none"/>
              </w:rPr>
            </w:pPr>
          </w:p>
        </w:tc>
        <w:tc>
          <w:tcPr>
            <w:tcW w:w="1556" w:type="dxa"/>
            <w:tcBorders>
              <w:top w:val="nil"/>
              <w:left w:val="nil"/>
              <w:bottom w:val="nil"/>
              <w:right w:val="nil"/>
            </w:tcBorders>
            <w:shd w:val="clear" w:color="auto" w:fill="auto"/>
            <w:vAlign w:val="bottom"/>
            <w:hideMark/>
          </w:tcPr>
          <w:p w14:paraId="0928EEE7"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5F6D9869" w14:textId="77777777" w:rsidTr="005B6C7F">
        <w:trPr>
          <w:trHeight w:val="20"/>
        </w:trPr>
        <w:tc>
          <w:tcPr>
            <w:tcW w:w="4149" w:type="dxa"/>
            <w:gridSpan w:val="2"/>
            <w:tcBorders>
              <w:top w:val="nil"/>
              <w:left w:val="nil"/>
              <w:bottom w:val="nil"/>
              <w:right w:val="nil"/>
            </w:tcBorders>
            <w:shd w:val="clear" w:color="auto" w:fill="auto"/>
            <w:noWrap/>
            <w:vAlign w:val="center"/>
            <w:hideMark/>
          </w:tcPr>
          <w:p w14:paraId="7A5F540D"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3.3 Disminución de Inventarios</w:t>
            </w:r>
          </w:p>
        </w:tc>
        <w:tc>
          <w:tcPr>
            <w:tcW w:w="2934" w:type="dxa"/>
            <w:tcBorders>
              <w:top w:val="nil"/>
              <w:left w:val="nil"/>
              <w:bottom w:val="nil"/>
              <w:right w:val="nil"/>
            </w:tcBorders>
            <w:shd w:val="clear" w:color="auto" w:fill="auto"/>
            <w:noWrap/>
            <w:vAlign w:val="center"/>
            <w:hideMark/>
          </w:tcPr>
          <w:p w14:paraId="36287DAC"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4A69FF22"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30DD2C37" w14:textId="77777777" w:rsidTr="005B6C7F">
        <w:trPr>
          <w:trHeight w:val="20"/>
        </w:trPr>
        <w:tc>
          <w:tcPr>
            <w:tcW w:w="3982" w:type="dxa"/>
            <w:tcBorders>
              <w:top w:val="nil"/>
              <w:left w:val="nil"/>
              <w:bottom w:val="nil"/>
              <w:right w:val="nil"/>
            </w:tcBorders>
            <w:shd w:val="clear" w:color="auto" w:fill="auto"/>
            <w:noWrap/>
            <w:vAlign w:val="center"/>
            <w:hideMark/>
          </w:tcPr>
          <w:p w14:paraId="0A7CE4EA"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3.4 Otros Gastos</w:t>
            </w:r>
          </w:p>
        </w:tc>
        <w:tc>
          <w:tcPr>
            <w:tcW w:w="167" w:type="dxa"/>
            <w:tcBorders>
              <w:top w:val="nil"/>
              <w:left w:val="nil"/>
              <w:bottom w:val="nil"/>
              <w:right w:val="nil"/>
            </w:tcBorders>
            <w:shd w:val="clear" w:color="auto" w:fill="auto"/>
            <w:noWrap/>
            <w:vAlign w:val="center"/>
            <w:hideMark/>
          </w:tcPr>
          <w:p w14:paraId="7466A6A4"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2934" w:type="dxa"/>
            <w:tcBorders>
              <w:top w:val="nil"/>
              <w:left w:val="nil"/>
              <w:bottom w:val="nil"/>
              <w:right w:val="nil"/>
            </w:tcBorders>
            <w:shd w:val="clear" w:color="auto" w:fill="auto"/>
            <w:noWrap/>
            <w:vAlign w:val="center"/>
            <w:hideMark/>
          </w:tcPr>
          <w:p w14:paraId="2113E647" w14:textId="77777777" w:rsidR="003C5317" w:rsidRPr="00BF1723" w:rsidRDefault="003C5317" w:rsidP="005B6C7F">
            <w:pPr>
              <w:spacing w:after="0" w:line="240" w:lineRule="auto"/>
              <w:rPr>
                <w:rFonts w:ascii="Times New Roman" w:eastAsia="Times New Roman" w:hAnsi="Times New Roman" w:cs="Times New Roman"/>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1375FFA6"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5C61E0F3" w14:textId="77777777" w:rsidTr="005B6C7F">
        <w:trPr>
          <w:trHeight w:val="20"/>
        </w:trPr>
        <w:tc>
          <w:tcPr>
            <w:tcW w:w="4149" w:type="dxa"/>
            <w:gridSpan w:val="2"/>
            <w:tcBorders>
              <w:top w:val="nil"/>
              <w:left w:val="nil"/>
              <w:bottom w:val="nil"/>
              <w:right w:val="nil"/>
            </w:tcBorders>
            <w:shd w:val="clear" w:color="auto" w:fill="auto"/>
            <w:noWrap/>
            <w:vAlign w:val="center"/>
            <w:hideMark/>
          </w:tcPr>
          <w:p w14:paraId="2FF61A90"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3.5 Inversión Pública no Capitalizable</w:t>
            </w:r>
          </w:p>
        </w:tc>
        <w:tc>
          <w:tcPr>
            <w:tcW w:w="2934" w:type="dxa"/>
            <w:tcBorders>
              <w:top w:val="nil"/>
              <w:left w:val="nil"/>
              <w:bottom w:val="nil"/>
              <w:right w:val="nil"/>
            </w:tcBorders>
            <w:shd w:val="clear" w:color="auto" w:fill="auto"/>
            <w:noWrap/>
            <w:vAlign w:val="center"/>
            <w:hideMark/>
          </w:tcPr>
          <w:p w14:paraId="0F65E553"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shd w:val="clear" w:color="auto" w:fill="auto"/>
            <w:vAlign w:val="bottom"/>
            <w:hideMark/>
          </w:tcPr>
          <w:p w14:paraId="531B60EA"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345B25A8" w14:textId="77777777" w:rsidTr="005B6C7F">
        <w:trPr>
          <w:trHeight w:val="20"/>
        </w:trPr>
        <w:tc>
          <w:tcPr>
            <w:tcW w:w="7083" w:type="dxa"/>
            <w:gridSpan w:val="3"/>
            <w:tcBorders>
              <w:top w:val="nil"/>
              <w:left w:val="nil"/>
              <w:right w:val="nil"/>
            </w:tcBorders>
            <w:shd w:val="clear" w:color="auto" w:fill="auto"/>
            <w:noWrap/>
            <w:vAlign w:val="center"/>
            <w:hideMark/>
          </w:tcPr>
          <w:p w14:paraId="31FFB25B"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3.6 Materiales y Suministros (consumos)</w:t>
            </w:r>
          </w:p>
        </w:tc>
        <w:tc>
          <w:tcPr>
            <w:tcW w:w="1698" w:type="dxa"/>
            <w:gridSpan w:val="2"/>
            <w:tcBorders>
              <w:top w:val="nil"/>
              <w:left w:val="nil"/>
              <w:right w:val="nil"/>
            </w:tcBorders>
            <w:shd w:val="clear" w:color="auto" w:fill="auto"/>
            <w:vAlign w:val="bottom"/>
            <w:hideMark/>
          </w:tcPr>
          <w:p w14:paraId="396A0C00"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BF1723" w14:paraId="49D69500" w14:textId="77777777" w:rsidTr="005B6C7F">
        <w:trPr>
          <w:trHeight w:val="20"/>
        </w:trPr>
        <w:tc>
          <w:tcPr>
            <w:tcW w:w="7083" w:type="dxa"/>
            <w:gridSpan w:val="3"/>
            <w:tcBorders>
              <w:top w:val="nil"/>
              <w:left w:val="nil"/>
              <w:bottom w:val="single" w:sz="4" w:space="0" w:color="auto"/>
              <w:right w:val="nil"/>
            </w:tcBorders>
            <w:shd w:val="clear" w:color="auto" w:fill="auto"/>
            <w:noWrap/>
            <w:vAlign w:val="center"/>
            <w:hideMark/>
          </w:tcPr>
          <w:p w14:paraId="27C066B7" w14:textId="77777777" w:rsidR="003C5317" w:rsidRPr="00BF1723" w:rsidRDefault="003C5317" w:rsidP="005B6C7F">
            <w:pPr>
              <w:spacing w:after="0" w:line="240" w:lineRule="auto"/>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3.7 Otros Gastos Contables No Presupuestarios</w:t>
            </w:r>
          </w:p>
        </w:tc>
        <w:tc>
          <w:tcPr>
            <w:tcW w:w="1698" w:type="dxa"/>
            <w:gridSpan w:val="2"/>
            <w:tcBorders>
              <w:top w:val="nil"/>
              <w:left w:val="nil"/>
              <w:bottom w:val="single" w:sz="4" w:space="0" w:color="auto"/>
              <w:right w:val="nil"/>
            </w:tcBorders>
            <w:shd w:val="clear" w:color="auto" w:fill="auto"/>
            <w:vAlign w:val="bottom"/>
            <w:hideMark/>
          </w:tcPr>
          <w:p w14:paraId="1B31354D" w14:textId="77777777" w:rsidR="003C5317" w:rsidRPr="00BF1723" w:rsidRDefault="003C5317" w:rsidP="005B6C7F">
            <w:pPr>
              <w:spacing w:after="0" w:line="240" w:lineRule="auto"/>
              <w:jc w:val="right"/>
              <w:rPr>
                <w:rFonts w:ascii="Arial" w:eastAsia="Times New Roman" w:hAnsi="Arial" w:cs="Arial"/>
                <w:color w:val="000000"/>
                <w:kern w:val="0"/>
                <w:sz w:val="20"/>
                <w:szCs w:val="20"/>
                <w:lang w:eastAsia="es-MX"/>
                <w14:ligatures w14:val="none"/>
              </w:rPr>
            </w:pPr>
            <w:r w:rsidRPr="00BF1723">
              <w:rPr>
                <w:rFonts w:ascii="Arial" w:eastAsia="Times New Roman" w:hAnsi="Arial" w:cs="Arial"/>
                <w:color w:val="000000"/>
                <w:kern w:val="0"/>
                <w:sz w:val="20"/>
                <w:szCs w:val="20"/>
                <w:lang w:eastAsia="es-MX"/>
                <w14:ligatures w14:val="none"/>
              </w:rPr>
              <w:t>0.00</w:t>
            </w:r>
          </w:p>
        </w:tc>
      </w:tr>
      <w:tr w:rsidR="003C5317" w:rsidRPr="005732FC" w14:paraId="504F09A7" w14:textId="77777777" w:rsidTr="005B6C7F">
        <w:trPr>
          <w:trHeight w:val="20"/>
        </w:trPr>
        <w:tc>
          <w:tcPr>
            <w:tcW w:w="4149" w:type="dxa"/>
            <w:gridSpan w:val="2"/>
            <w:tcBorders>
              <w:top w:val="single" w:sz="4" w:space="0" w:color="auto"/>
              <w:left w:val="nil"/>
              <w:bottom w:val="single" w:sz="8" w:space="0" w:color="auto"/>
              <w:right w:val="nil"/>
            </w:tcBorders>
            <w:shd w:val="clear" w:color="000000" w:fill="BFBFBF"/>
            <w:noWrap/>
            <w:vAlign w:val="center"/>
            <w:hideMark/>
          </w:tcPr>
          <w:p w14:paraId="481F0C86" w14:textId="77777777" w:rsidR="003C5317" w:rsidRPr="00BF1723"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BF1723">
              <w:rPr>
                <w:rFonts w:ascii="Arial" w:eastAsia="Times New Roman" w:hAnsi="Arial" w:cs="Arial"/>
                <w:b/>
                <w:bCs/>
                <w:color w:val="000000"/>
                <w:kern w:val="0"/>
                <w:sz w:val="20"/>
                <w:szCs w:val="20"/>
                <w:lang w:eastAsia="es-MX"/>
                <w14:ligatures w14:val="none"/>
              </w:rPr>
              <w:t>4. Total de Gasto Contable</w:t>
            </w:r>
          </w:p>
        </w:tc>
        <w:tc>
          <w:tcPr>
            <w:tcW w:w="2934" w:type="dxa"/>
            <w:tcBorders>
              <w:top w:val="single" w:sz="4" w:space="0" w:color="auto"/>
              <w:left w:val="nil"/>
              <w:bottom w:val="single" w:sz="8" w:space="0" w:color="auto"/>
              <w:right w:val="nil"/>
            </w:tcBorders>
            <w:shd w:val="clear" w:color="000000" w:fill="BFBFBF"/>
            <w:noWrap/>
            <w:vAlign w:val="center"/>
            <w:hideMark/>
          </w:tcPr>
          <w:p w14:paraId="6A303D41" w14:textId="77777777" w:rsidR="003C5317" w:rsidRPr="00BF1723" w:rsidRDefault="003C5317" w:rsidP="005B6C7F">
            <w:pPr>
              <w:spacing w:after="0" w:line="240" w:lineRule="auto"/>
              <w:rPr>
                <w:rFonts w:ascii="Arial" w:eastAsia="Times New Roman" w:hAnsi="Arial" w:cs="Arial"/>
                <w:b/>
                <w:bCs/>
                <w:color w:val="000000"/>
                <w:kern w:val="0"/>
                <w:sz w:val="20"/>
                <w:szCs w:val="20"/>
                <w:lang w:eastAsia="es-MX"/>
                <w14:ligatures w14:val="none"/>
              </w:rPr>
            </w:pPr>
            <w:r w:rsidRPr="00BF1723">
              <w:rPr>
                <w:rFonts w:ascii="Arial" w:eastAsia="Times New Roman" w:hAnsi="Arial" w:cs="Arial"/>
                <w:b/>
                <w:bCs/>
                <w:color w:val="000000"/>
                <w:kern w:val="0"/>
                <w:sz w:val="20"/>
                <w:szCs w:val="20"/>
                <w:lang w:eastAsia="es-MX"/>
                <w14:ligatures w14:val="none"/>
              </w:rPr>
              <w:t> </w:t>
            </w:r>
          </w:p>
        </w:tc>
        <w:tc>
          <w:tcPr>
            <w:tcW w:w="1698" w:type="dxa"/>
            <w:gridSpan w:val="2"/>
            <w:tcBorders>
              <w:top w:val="single" w:sz="4" w:space="0" w:color="auto"/>
              <w:left w:val="nil"/>
              <w:bottom w:val="single" w:sz="8" w:space="0" w:color="auto"/>
              <w:right w:val="nil"/>
            </w:tcBorders>
            <w:shd w:val="clear" w:color="000000" w:fill="BFBFBF"/>
            <w:noWrap/>
            <w:vAlign w:val="center"/>
            <w:hideMark/>
          </w:tcPr>
          <w:p w14:paraId="57AAD8E1" w14:textId="11BA7288" w:rsidR="003C5317" w:rsidRPr="005732FC" w:rsidRDefault="00BF1723" w:rsidP="005B6C7F">
            <w:pPr>
              <w:spacing w:after="0" w:line="240" w:lineRule="auto"/>
              <w:rPr>
                <w:rFonts w:ascii="Arial" w:eastAsia="Times New Roman" w:hAnsi="Arial" w:cs="Arial"/>
                <w:b/>
                <w:bCs/>
                <w:color w:val="000000"/>
                <w:kern w:val="0"/>
                <w:sz w:val="20"/>
                <w:szCs w:val="20"/>
                <w:lang w:eastAsia="es-MX"/>
                <w14:ligatures w14:val="none"/>
              </w:rPr>
            </w:pPr>
            <w:r w:rsidRPr="00BF1723">
              <w:rPr>
                <w:rFonts w:ascii="Arial" w:eastAsia="Times New Roman" w:hAnsi="Arial" w:cs="Arial"/>
                <w:b/>
                <w:bCs/>
                <w:color w:val="000000"/>
                <w:kern w:val="0"/>
                <w:sz w:val="20"/>
                <w:szCs w:val="20"/>
                <w:lang w:eastAsia="es-MX"/>
                <w14:ligatures w14:val="none"/>
              </w:rPr>
              <w:t>3,251,865,242.52</w:t>
            </w:r>
          </w:p>
        </w:tc>
      </w:tr>
    </w:tbl>
    <w:p w14:paraId="392E980E" w14:textId="1959DD87" w:rsidR="00C9563D" w:rsidRPr="005732FC" w:rsidRDefault="00C9563D" w:rsidP="005D2B3E">
      <w:pPr>
        <w:spacing w:after="0"/>
        <w:jc w:val="both"/>
        <w:rPr>
          <w:rFonts w:ascii="Arial" w:hAnsi="Arial" w:cs="Arial"/>
          <w:sz w:val="20"/>
          <w:szCs w:val="20"/>
        </w:rPr>
      </w:pPr>
    </w:p>
    <w:p w14:paraId="27943EDD" w14:textId="7D3C6E50" w:rsidR="009A449A" w:rsidRDefault="009A449A" w:rsidP="005D2B3E">
      <w:pPr>
        <w:spacing w:after="0"/>
        <w:jc w:val="both"/>
        <w:rPr>
          <w:rFonts w:ascii="Arial" w:hAnsi="Arial" w:cs="Arial"/>
          <w:sz w:val="20"/>
          <w:szCs w:val="20"/>
        </w:rPr>
      </w:pPr>
    </w:p>
    <w:p w14:paraId="691A0951" w14:textId="77777777" w:rsidR="00B71168" w:rsidRPr="005732FC" w:rsidRDefault="00B71168" w:rsidP="005D2B3E">
      <w:pPr>
        <w:spacing w:after="0"/>
        <w:jc w:val="both"/>
        <w:rPr>
          <w:rFonts w:ascii="Arial" w:hAnsi="Arial" w:cs="Arial"/>
          <w:sz w:val="20"/>
          <w:szCs w:val="20"/>
        </w:rPr>
      </w:pPr>
    </w:p>
    <w:p w14:paraId="1260DE96" w14:textId="77777777" w:rsidR="009A449A" w:rsidRPr="005732FC" w:rsidRDefault="009A449A" w:rsidP="005D2B3E">
      <w:pPr>
        <w:spacing w:after="0"/>
        <w:jc w:val="both"/>
        <w:rPr>
          <w:rFonts w:ascii="Arial" w:hAnsi="Arial" w:cs="Arial"/>
          <w:sz w:val="20"/>
          <w:szCs w:val="20"/>
        </w:rPr>
      </w:pPr>
    </w:p>
    <w:tbl>
      <w:tblPr>
        <w:tblStyle w:val="Tablaconcuadrcula"/>
        <w:tblW w:w="5000" w:type="pct"/>
        <w:tblLook w:val="04A0" w:firstRow="1" w:lastRow="0" w:firstColumn="1" w:lastColumn="0" w:noHBand="0" w:noVBand="1"/>
      </w:tblPr>
      <w:tblGrid>
        <w:gridCol w:w="10790"/>
      </w:tblGrid>
      <w:tr w:rsidR="007F03B9" w:rsidRPr="005732FC" w14:paraId="31FF5F15" w14:textId="77777777" w:rsidTr="005643E1">
        <w:tc>
          <w:tcPr>
            <w:tcW w:w="5000" w:type="pct"/>
          </w:tcPr>
          <w:p w14:paraId="69B3CE54" w14:textId="2D31AF84" w:rsidR="007F03B9" w:rsidRPr="005732FC" w:rsidRDefault="00BA3347" w:rsidP="005D2B3E">
            <w:pPr>
              <w:spacing w:line="259" w:lineRule="auto"/>
              <w:jc w:val="center"/>
              <w:rPr>
                <w:rFonts w:ascii="Arial" w:hAnsi="Arial" w:cs="Arial"/>
                <w:b/>
                <w:bCs/>
                <w:sz w:val="20"/>
                <w:szCs w:val="20"/>
              </w:rPr>
            </w:pPr>
            <w:r w:rsidRPr="005732FC">
              <w:rPr>
                <w:rFonts w:ascii="Arial" w:hAnsi="Arial" w:cs="Arial"/>
                <w:sz w:val="20"/>
                <w:szCs w:val="20"/>
              </w:rPr>
              <w:lastRenderedPageBreak/>
              <w:tab/>
            </w:r>
            <w:r w:rsidR="007F03B9" w:rsidRPr="005732FC">
              <w:rPr>
                <w:rFonts w:ascii="Arial" w:hAnsi="Arial" w:cs="Arial"/>
                <w:b/>
                <w:bCs/>
                <w:sz w:val="20"/>
                <w:szCs w:val="20"/>
              </w:rPr>
              <w:t>c) NOTAS DE MEMORIA</w:t>
            </w:r>
          </w:p>
        </w:tc>
      </w:tr>
    </w:tbl>
    <w:p w14:paraId="54DE8638" w14:textId="77777777" w:rsidR="004C667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2D241B48" w14:textId="174BE009"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D3770BF" w14:textId="445CF332" w:rsidR="00BA3347" w:rsidRPr="005732FC" w:rsidRDefault="00BA3347" w:rsidP="005D2B3E">
      <w:pPr>
        <w:pStyle w:val="Prrafodelista"/>
        <w:numPr>
          <w:ilvl w:val="0"/>
          <w:numId w:val="4"/>
        </w:numPr>
        <w:spacing w:after="0"/>
        <w:ind w:left="0"/>
        <w:jc w:val="both"/>
        <w:outlineLvl w:val="0"/>
        <w:rPr>
          <w:rFonts w:ascii="Arial" w:hAnsi="Arial" w:cs="Arial"/>
          <w:b/>
          <w:bCs/>
          <w:sz w:val="20"/>
          <w:szCs w:val="20"/>
        </w:rPr>
      </w:pPr>
      <w:r w:rsidRPr="005732FC">
        <w:rPr>
          <w:rFonts w:ascii="Arial" w:hAnsi="Arial" w:cs="Arial"/>
          <w:b/>
          <w:bCs/>
          <w:sz w:val="20"/>
          <w:szCs w:val="20"/>
        </w:rPr>
        <w:t>Cuentas de Orden</w:t>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r w:rsidRPr="005732FC">
        <w:rPr>
          <w:rFonts w:ascii="Arial" w:hAnsi="Arial" w:cs="Arial"/>
          <w:b/>
          <w:bCs/>
          <w:sz w:val="20"/>
          <w:szCs w:val="20"/>
        </w:rPr>
        <w:tab/>
      </w:r>
    </w:p>
    <w:p w14:paraId="32ED3631"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144B15E" w14:textId="74ED776A"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Las cuentas de orden se utilizan para registrar movimiento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3554C7F"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DC93175" w14:textId="77777777" w:rsidR="002472E2" w:rsidRPr="005732FC" w:rsidRDefault="00BA3347" w:rsidP="005D2B3E">
      <w:pPr>
        <w:spacing w:after="0"/>
        <w:jc w:val="both"/>
        <w:rPr>
          <w:rFonts w:ascii="Arial" w:hAnsi="Arial" w:cs="Arial"/>
          <w:sz w:val="20"/>
          <w:szCs w:val="20"/>
        </w:rPr>
      </w:pPr>
      <w:r w:rsidRPr="005732FC">
        <w:rPr>
          <w:rFonts w:ascii="Arial" w:hAnsi="Arial" w:cs="Arial"/>
          <w:sz w:val="20"/>
          <w:szCs w:val="20"/>
        </w:rPr>
        <w:t xml:space="preserve">Se informará, de manera agrupada, en las notas a los Estados Financieros las cuentas de orden contables y cuentas de orden presupuestario, estas se identifican bajo los siguientes conceptos: </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9B8EE83" w14:textId="133C1FD1" w:rsidR="00BA3347" w:rsidRPr="005732FC" w:rsidRDefault="00775102" w:rsidP="005D2B3E">
      <w:pPr>
        <w:pStyle w:val="Ttulo2"/>
        <w:ind w:hanging="284"/>
        <w:rPr>
          <w:rFonts w:ascii="Arial" w:hAnsi="Arial" w:cs="Arial"/>
          <w:b/>
          <w:bCs/>
          <w:sz w:val="20"/>
          <w:szCs w:val="20"/>
        </w:rPr>
      </w:pPr>
      <w:r w:rsidRPr="005732FC">
        <w:rPr>
          <w:rFonts w:ascii="Arial" w:hAnsi="Arial" w:cs="Arial"/>
          <w:b/>
          <w:bCs/>
          <w:color w:val="auto"/>
          <w:sz w:val="20"/>
          <w:szCs w:val="20"/>
        </w:rPr>
        <w:t xml:space="preserve">1.1 </w:t>
      </w:r>
      <w:r w:rsidR="00BA3347" w:rsidRPr="005732FC">
        <w:rPr>
          <w:rFonts w:ascii="Arial" w:hAnsi="Arial" w:cs="Arial"/>
          <w:b/>
          <w:bCs/>
          <w:color w:val="auto"/>
          <w:sz w:val="20"/>
          <w:szCs w:val="20"/>
        </w:rPr>
        <w:t>Contables</w:t>
      </w:r>
      <w:r w:rsidR="00BA3347" w:rsidRPr="005732FC">
        <w:rPr>
          <w:rFonts w:ascii="Arial" w:hAnsi="Arial" w:cs="Arial"/>
          <w:b/>
          <w:bCs/>
          <w:sz w:val="20"/>
          <w:szCs w:val="20"/>
        </w:rPr>
        <w:t xml:space="preserve">. </w:t>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p>
    <w:p w14:paraId="26A309A2"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40BDD390" w14:textId="77777777" w:rsidR="00CC7C0F" w:rsidRPr="005732FC" w:rsidRDefault="00CC7C0F" w:rsidP="00CC7C0F">
      <w:pPr>
        <w:keepNext/>
        <w:keepLines/>
        <w:spacing w:before="40" w:after="0"/>
        <w:ind w:hanging="284"/>
        <w:outlineLvl w:val="1"/>
        <w:rPr>
          <w:rFonts w:ascii="Arial" w:eastAsiaTheme="majorEastAsia" w:hAnsi="Arial" w:cs="Arial"/>
          <w:b/>
          <w:bCs/>
          <w:color w:val="2F5496" w:themeColor="accent1" w:themeShade="BF"/>
          <w:sz w:val="20"/>
          <w:szCs w:val="20"/>
        </w:rPr>
      </w:pPr>
      <w:r w:rsidRPr="005732FC">
        <w:rPr>
          <w:rFonts w:ascii="Arial" w:eastAsiaTheme="majorEastAsia" w:hAnsi="Arial" w:cs="Arial"/>
          <w:b/>
          <w:bCs/>
          <w:sz w:val="20"/>
          <w:szCs w:val="20"/>
        </w:rPr>
        <w:t>Contables</w:t>
      </w:r>
      <w:r w:rsidRPr="005732FC">
        <w:rPr>
          <w:rFonts w:ascii="Arial" w:eastAsiaTheme="majorEastAsia" w:hAnsi="Arial" w:cs="Arial"/>
          <w:b/>
          <w:bCs/>
          <w:color w:val="2F5496" w:themeColor="accent1" w:themeShade="BF"/>
          <w:sz w:val="20"/>
          <w:szCs w:val="20"/>
        </w:rPr>
        <w:t xml:space="preserve">. </w:t>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r w:rsidRPr="005732FC">
        <w:rPr>
          <w:rFonts w:ascii="Arial" w:eastAsiaTheme="majorEastAsia" w:hAnsi="Arial" w:cs="Arial"/>
          <w:b/>
          <w:bCs/>
          <w:color w:val="2F5496" w:themeColor="accent1" w:themeShade="BF"/>
          <w:sz w:val="20"/>
          <w:szCs w:val="20"/>
        </w:rPr>
        <w:tab/>
      </w:r>
    </w:p>
    <w:p w14:paraId="4D6A0EA2" w14:textId="77777777" w:rsidR="00CC7C0F" w:rsidRPr="005732FC" w:rsidRDefault="00CC7C0F" w:rsidP="00CC7C0F">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78C03617" w14:textId="77777777" w:rsidR="00CC7C0F" w:rsidRPr="005732FC" w:rsidRDefault="00CC7C0F" w:rsidP="00CC7C0F">
      <w:pPr>
        <w:spacing w:after="0"/>
        <w:jc w:val="both"/>
        <w:rPr>
          <w:rFonts w:ascii="Arial" w:hAnsi="Arial" w:cs="Arial"/>
          <w:sz w:val="20"/>
          <w:szCs w:val="20"/>
        </w:rPr>
      </w:pPr>
      <w:r w:rsidRPr="005732FC">
        <w:rPr>
          <w:rFonts w:ascii="Arial" w:hAnsi="Arial" w:cs="Arial"/>
          <w:sz w:val="20"/>
          <w:szCs w:val="20"/>
        </w:rPr>
        <w:t>Los saldos de las Cuentas de Orden Contables al 30 de junio de 2025 se detallan a continuación:</w:t>
      </w:r>
    </w:p>
    <w:p w14:paraId="00E7F703" w14:textId="77777777" w:rsidR="00CC7C0F" w:rsidRPr="005732FC" w:rsidRDefault="00CC7C0F" w:rsidP="00CC7C0F">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tbl>
      <w:tblPr>
        <w:tblW w:w="6376" w:type="dxa"/>
        <w:tblCellMar>
          <w:left w:w="70" w:type="dxa"/>
          <w:right w:w="70" w:type="dxa"/>
        </w:tblCellMar>
        <w:tblLook w:val="04A0" w:firstRow="1" w:lastRow="0" w:firstColumn="1" w:lastColumn="0" w:noHBand="0" w:noVBand="1"/>
      </w:tblPr>
      <w:tblGrid>
        <w:gridCol w:w="2087"/>
        <w:gridCol w:w="3442"/>
        <w:gridCol w:w="1698"/>
      </w:tblGrid>
      <w:tr w:rsidR="00CC7C0F" w:rsidRPr="005732FC" w14:paraId="31E4E83C" w14:textId="77777777" w:rsidTr="008C77A6">
        <w:trPr>
          <w:trHeight w:val="20"/>
          <w:tblHeader/>
        </w:trPr>
        <w:tc>
          <w:tcPr>
            <w:tcW w:w="2087" w:type="dxa"/>
            <w:tcBorders>
              <w:top w:val="single" w:sz="8" w:space="0" w:color="auto"/>
              <w:left w:val="nil"/>
              <w:bottom w:val="single" w:sz="8" w:space="0" w:color="auto"/>
              <w:right w:val="nil"/>
            </w:tcBorders>
            <w:shd w:val="clear" w:color="000000" w:fill="BFBFBF"/>
            <w:noWrap/>
            <w:vAlign w:val="center"/>
            <w:hideMark/>
          </w:tcPr>
          <w:p w14:paraId="5DFBDBDF" w14:textId="77777777" w:rsidR="00CC7C0F" w:rsidRPr="005732FC" w:rsidRDefault="00CC7C0F" w:rsidP="00CC7C0F">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Concepto</w:t>
            </w:r>
          </w:p>
        </w:tc>
        <w:tc>
          <w:tcPr>
            <w:tcW w:w="3442" w:type="dxa"/>
            <w:tcBorders>
              <w:top w:val="single" w:sz="8" w:space="0" w:color="auto"/>
              <w:left w:val="nil"/>
              <w:bottom w:val="single" w:sz="8" w:space="0" w:color="auto"/>
              <w:right w:val="nil"/>
            </w:tcBorders>
            <w:shd w:val="clear" w:color="000000" w:fill="BFBFBF"/>
            <w:noWrap/>
            <w:vAlign w:val="center"/>
            <w:hideMark/>
          </w:tcPr>
          <w:p w14:paraId="222ED32E" w14:textId="77777777" w:rsidR="00CC7C0F" w:rsidRPr="005732FC" w:rsidRDefault="00CC7C0F" w:rsidP="00CC7C0F">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847" w:type="dxa"/>
            <w:tcBorders>
              <w:top w:val="single" w:sz="8" w:space="0" w:color="auto"/>
              <w:left w:val="nil"/>
              <w:bottom w:val="single" w:sz="8" w:space="0" w:color="auto"/>
              <w:right w:val="nil"/>
            </w:tcBorders>
            <w:shd w:val="clear" w:color="000000" w:fill="BFBFBF"/>
            <w:noWrap/>
            <w:vAlign w:val="center"/>
            <w:hideMark/>
          </w:tcPr>
          <w:p w14:paraId="7968507E" w14:textId="77777777" w:rsidR="00CC7C0F" w:rsidRPr="005732FC" w:rsidRDefault="00CC7C0F" w:rsidP="00CC7C0F">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Monto</w:t>
            </w:r>
          </w:p>
        </w:tc>
      </w:tr>
      <w:tr w:rsidR="00CC7C0F" w:rsidRPr="005732FC" w14:paraId="4B78641B" w14:textId="77777777" w:rsidTr="008C77A6">
        <w:trPr>
          <w:trHeight w:val="20"/>
        </w:trPr>
        <w:tc>
          <w:tcPr>
            <w:tcW w:w="2087" w:type="dxa"/>
            <w:tcBorders>
              <w:top w:val="nil"/>
              <w:left w:val="nil"/>
              <w:bottom w:val="nil"/>
              <w:right w:val="nil"/>
            </w:tcBorders>
            <w:shd w:val="clear" w:color="auto" w:fill="auto"/>
            <w:noWrap/>
            <w:vAlign w:val="center"/>
            <w:hideMark/>
          </w:tcPr>
          <w:p w14:paraId="35AE2661" w14:textId="77777777" w:rsidR="00CC7C0F" w:rsidRPr="005732FC" w:rsidRDefault="00CC7C0F" w:rsidP="00CC7C0F">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Juicios</w:t>
            </w:r>
          </w:p>
        </w:tc>
        <w:tc>
          <w:tcPr>
            <w:tcW w:w="3442" w:type="dxa"/>
            <w:tcBorders>
              <w:top w:val="nil"/>
              <w:left w:val="nil"/>
              <w:bottom w:val="nil"/>
              <w:right w:val="nil"/>
            </w:tcBorders>
            <w:shd w:val="clear" w:color="auto" w:fill="auto"/>
            <w:noWrap/>
            <w:vAlign w:val="center"/>
            <w:hideMark/>
          </w:tcPr>
          <w:p w14:paraId="7503363F" w14:textId="77777777" w:rsidR="00CC7C0F" w:rsidRPr="005732FC" w:rsidRDefault="00CC7C0F" w:rsidP="00CC7C0F">
            <w:pPr>
              <w:spacing w:after="0" w:line="240" w:lineRule="auto"/>
              <w:rPr>
                <w:rFonts w:ascii="Arial" w:eastAsia="Times New Roman" w:hAnsi="Arial" w:cs="Arial"/>
                <w:color w:val="000000"/>
                <w:kern w:val="0"/>
                <w:sz w:val="20"/>
                <w:szCs w:val="20"/>
                <w:lang w:eastAsia="es-MX"/>
                <w14:ligatures w14:val="none"/>
              </w:rPr>
            </w:pPr>
          </w:p>
        </w:tc>
        <w:tc>
          <w:tcPr>
            <w:tcW w:w="847" w:type="dxa"/>
            <w:tcBorders>
              <w:top w:val="nil"/>
              <w:left w:val="nil"/>
              <w:bottom w:val="nil"/>
              <w:right w:val="nil"/>
            </w:tcBorders>
            <w:shd w:val="clear" w:color="auto" w:fill="auto"/>
            <w:noWrap/>
            <w:vAlign w:val="center"/>
            <w:hideMark/>
          </w:tcPr>
          <w:p w14:paraId="1744F504" w14:textId="77777777" w:rsidR="00CC7C0F" w:rsidRPr="005732FC" w:rsidRDefault="00CC7C0F" w:rsidP="00CC7C0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1,489,391,614.45</w:t>
            </w:r>
          </w:p>
        </w:tc>
      </w:tr>
      <w:tr w:rsidR="00CC7C0F" w:rsidRPr="005732FC" w14:paraId="7FCF6D44" w14:textId="77777777" w:rsidTr="008C77A6">
        <w:trPr>
          <w:trHeight w:val="20"/>
        </w:trPr>
        <w:tc>
          <w:tcPr>
            <w:tcW w:w="5529" w:type="dxa"/>
            <w:gridSpan w:val="2"/>
            <w:tcBorders>
              <w:top w:val="nil"/>
              <w:left w:val="nil"/>
              <w:bottom w:val="nil"/>
              <w:right w:val="nil"/>
            </w:tcBorders>
            <w:shd w:val="clear" w:color="auto" w:fill="auto"/>
            <w:noWrap/>
            <w:vAlign w:val="center"/>
            <w:hideMark/>
          </w:tcPr>
          <w:p w14:paraId="64A54EDA" w14:textId="77777777" w:rsidR="00CC7C0F" w:rsidRPr="005732FC" w:rsidRDefault="00CC7C0F" w:rsidP="00CC7C0F">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Cuentas de orden del Municipio</w:t>
            </w:r>
          </w:p>
        </w:tc>
        <w:tc>
          <w:tcPr>
            <w:tcW w:w="847" w:type="dxa"/>
            <w:tcBorders>
              <w:top w:val="nil"/>
              <w:left w:val="nil"/>
              <w:bottom w:val="nil"/>
              <w:right w:val="nil"/>
            </w:tcBorders>
            <w:shd w:val="clear" w:color="auto" w:fill="auto"/>
            <w:noWrap/>
            <w:vAlign w:val="center"/>
            <w:hideMark/>
          </w:tcPr>
          <w:p w14:paraId="34CEE261" w14:textId="77777777" w:rsidR="00CC7C0F" w:rsidRPr="005732FC" w:rsidRDefault="00CC7C0F" w:rsidP="00CC7C0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2,045,361,881.85 </w:t>
            </w:r>
          </w:p>
        </w:tc>
      </w:tr>
      <w:tr w:rsidR="00CC7C0F" w:rsidRPr="005732FC" w14:paraId="3E8B1214" w14:textId="77777777" w:rsidTr="008C77A6">
        <w:trPr>
          <w:trHeight w:val="20"/>
        </w:trPr>
        <w:tc>
          <w:tcPr>
            <w:tcW w:w="5529" w:type="dxa"/>
            <w:gridSpan w:val="2"/>
            <w:tcBorders>
              <w:top w:val="nil"/>
              <w:left w:val="nil"/>
              <w:bottom w:val="nil"/>
              <w:right w:val="nil"/>
            </w:tcBorders>
            <w:shd w:val="clear" w:color="auto" w:fill="auto"/>
            <w:noWrap/>
            <w:vAlign w:val="center"/>
            <w:hideMark/>
          </w:tcPr>
          <w:p w14:paraId="539FB539" w14:textId="77777777" w:rsidR="00CC7C0F" w:rsidRPr="005732FC" w:rsidRDefault="00CC7C0F" w:rsidP="00CC7C0F">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Bienes arqueológicos, artísticos e históricos</w:t>
            </w:r>
          </w:p>
        </w:tc>
        <w:tc>
          <w:tcPr>
            <w:tcW w:w="847" w:type="dxa"/>
            <w:tcBorders>
              <w:top w:val="nil"/>
              <w:left w:val="nil"/>
              <w:bottom w:val="nil"/>
              <w:right w:val="nil"/>
            </w:tcBorders>
            <w:shd w:val="clear" w:color="auto" w:fill="auto"/>
            <w:noWrap/>
            <w:vAlign w:val="center"/>
            <w:hideMark/>
          </w:tcPr>
          <w:p w14:paraId="30F83EB9" w14:textId="77777777" w:rsidR="00CC7C0F" w:rsidRPr="005732FC" w:rsidRDefault="00CC7C0F" w:rsidP="00CC7C0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35.00 </w:t>
            </w:r>
          </w:p>
        </w:tc>
      </w:tr>
      <w:tr w:rsidR="00CC7C0F" w:rsidRPr="005732FC" w14:paraId="3CA0F5FA" w14:textId="77777777" w:rsidTr="008C77A6">
        <w:trPr>
          <w:trHeight w:val="20"/>
        </w:trPr>
        <w:tc>
          <w:tcPr>
            <w:tcW w:w="5529" w:type="dxa"/>
            <w:gridSpan w:val="2"/>
            <w:tcBorders>
              <w:top w:val="nil"/>
              <w:left w:val="nil"/>
              <w:bottom w:val="nil"/>
              <w:right w:val="nil"/>
            </w:tcBorders>
            <w:shd w:val="clear" w:color="auto" w:fill="auto"/>
            <w:vAlign w:val="center"/>
            <w:hideMark/>
          </w:tcPr>
          <w:p w14:paraId="78415F0E" w14:textId="77777777" w:rsidR="00CC7C0F" w:rsidRPr="005732FC" w:rsidRDefault="00CC7C0F" w:rsidP="00CC7C0F">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Bienes inmuebles no capitalizables recibidos (donaciones*)</w:t>
            </w:r>
          </w:p>
        </w:tc>
        <w:tc>
          <w:tcPr>
            <w:tcW w:w="847" w:type="dxa"/>
            <w:tcBorders>
              <w:top w:val="nil"/>
              <w:left w:val="nil"/>
              <w:bottom w:val="nil"/>
              <w:right w:val="nil"/>
            </w:tcBorders>
            <w:shd w:val="clear" w:color="auto" w:fill="auto"/>
            <w:noWrap/>
            <w:vAlign w:val="center"/>
            <w:hideMark/>
          </w:tcPr>
          <w:p w14:paraId="7EE89B76" w14:textId="77777777" w:rsidR="00CC7C0F" w:rsidRPr="005732FC" w:rsidRDefault="00CC7C0F" w:rsidP="00CC7C0F">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xml:space="preserve">   334,828,872.89 </w:t>
            </w:r>
          </w:p>
        </w:tc>
      </w:tr>
      <w:tr w:rsidR="00CC7C0F" w:rsidRPr="005732FC" w14:paraId="18AE6DBF" w14:textId="77777777" w:rsidTr="008C77A6">
        <w:trPr>
          <w:trHeight w:val="20"/>
        </w:trPr>
        <w:tc>
          <w:tcPr>
            <w:tcW w:w="2087" w:type="dxa"/>
            <w:tcBorders>
              <w:top w:val="single" w:sz="8" w:space="0" w:color="auto"/>
              <w:left w:val="nil"/>
              <w:bottom w:val="single" w:sz="8" w:space="0" w:color="auto"/>
              <w:right w:val="nil"/>
            </w:tcBorders>
            <w:shd w:val="clear" w:color="000000" w:fill="BFBFBF"/>
            <w:noWrap/>
            <w:vAlign w:val="center"/>
            <w:hideMark/>
          </w:tcPr>
          <w:p w14:paraId="06095842" w14:textId="77777777" w:rsidR="00CC7C0F" w:rsidRPr="005732FC" w:rsidRDefault="00CC7C0F" w:rsidP="00CC7C0F">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3442" w:type="dxa"/>
            <w:tcBorders>
              <w:top w:val="single" w:sz="8" w:space="0" w:color="auto"/>
              <w:left w:val="nil"/>
              <w:bottom w:val="single" w:sz="8" w:space="0" w:color="auto"/>
              <w:right w:val="nil"/>
            </w:tcBorders>
            <w:shd w:val="clear" w:color="000000" w:fill="BFBFBF"/>
            <w:noWrap/>
            <w:vAlign w:val="center"/>
            <w:hideMark/>
          </w:tcPr>
          <w:p w14:paraId="2F8B86B0" w14:textId="77777777" w:rsidR="00CC7C0F" w:rsidRPr="005732FC" w:rsidRDefault="00CC7C0F" w:rsidP="00CC7C0F">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847" w:type="dxa"/>
            <w:tcBorders>
              <w:top w:val="single" w:sz="8" w:space="0" w:color="auto"/>
              <w:left w:val="nil"/>
              <w:bottom w:val="single" w:sz="8" w:space="0" w:color="auto"/>
              <w:right w:val="nil"/>
            </w:tcBorders>
            <w:shd w:val="clear" w:color="000000" w:fill="BFBFBF"/>
            <w:noWrap/>
            <w:vAlign w:val="center"/>
            <w:hideMark/>
          </w:tcPr>
          <w:p w14:paraId="16BAD5F2" w14:textId="77777777" w:rsidR="00CC7C0F" w:rsidRPr="005732FC" w:rsidRDefault="00CC7C0F" w:rsidP="00CC7C0F">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3,869,582,404.19</w:t>
            </w:r>
          </w:p>
        </w:tc>
      </w:tr>
    </w:tbl>
    <w:p w14:paraId="3BEBA941" w14:textId="2AD04A8E" w:rsidR="003C5317" w:rsidRPr="005732FC" w:rsidRDefault="00CC7C0F" w:rsidP="003C5317">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003C5317" w:rsidRPr="005732FC">
        <w:rPr>
          <w:rFonts w:ascii="Arial" w:hAnsi="Arial" w:cs="Arial"/>
          <w:sz w:val="20"/>
          <w:szCs w:val="20"/>
        </w:rPr>
        <w:tab/>
      </w:r>
      <w:r w:rsidR="003C5317" w:rsidRPr="005732FC">
        <w:rPr>
          <w:rFonts w:ascii="Arial" w:hAnsi="Arial" w:cs="Arial"/>
          <w:sz w:val="20"/>
          <w:szCs w:val="20"/>
        </w:rPr>
        <w:tab/>
      </w:r>
      <w:r w:rsidR="003C5317" w:rsidRPr="005732FC">
        <w:rPr>
          <w:rFonts w:ascii="Arial" w:hAnsi="Arial" w:cs="Arial"/>
          <w:sz w:val="20"/>
          <w:szCs w:val="20"/>
        </w:rPr>
        <w:tab/>
      </w:r>
      <w:r w:rsidR="003C5317" w:rsidRPr="005732FC">
        <w:rPr>
          <w:rFonts w:ascii="Arial" w:hAnsi="Arial" w:cs="Arial"/>
          <w:sz w:val="20"/>
          <w:szCs w:val="20"/>
        </w:rPr>
        <w:tab/>
      </w:r>
      <w:r w:rsidR="003C5317" w:rsidRPr="005732FC">
        <w:rPr>
          <w:rFonts w:ascii="Arial" w:hAnsi="Arial" w:cs="Arial"/>
          <w:sz w:val="20"/>
          <w:szCs w:val="20"/>
        </w:rPr>
        <w:tab/>
      </w:r>
    </w:p>
    <w:p w14:paraId="5AC8E560" w14:textId="77777777" w:rsidR="003C5317" w:rsidRPr="005732FC" w:rsidRDefault="003C5317" w:rsidP="003C5317">
      <w:pPr>
        <w:spacing w:after="0"/>
        <w:jc w:val="both"/>
        <w:rPr>
          <w:rFonts w:ascii="Arial" w:hAnsi="Arial" w:cs="Arial"/>
          <w:sz w:val="20"/>
          <w:szCs w:val="20"/>
        </w:rPr>
      </w:pPr>
      <w:r w:rsidRPr="005732FC">
        <w:rPr>
          <w:rFonts w:ascii="Arial" w:hAnsi="Arial" w:cs="Arial"/>
          <w:sz w:val="20"/>
          <w:szCs w:val="20"/>
        </w:rPr>
        <w:t>*En el mes de abril de 2019 se registró en cuentas de orden contables de bienes inmuebles no capitalizables, 43 vialidades recibidas en donación, con un valor catastral total de $334,828,872.89.</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681467A5" w14:textId="77777777" w:rsidR="003C5317" w:rsidRPr="005732FC" w:rsidRDefault="003C5317" w:rsidP="003C5317">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9793960" w14:textId="77777777" w:rsidR="00CC7C0F" w:rsidRPr="005732FC" w:rsidRDefault="00CC7C0F" w:rsidP="00CC7C0F">
      <w:pPr>
        <w:spacing w:after="0"/>
        <w:jc w:val="both"/>
        <w:rPr>
          <w:rFonts w:ascii="Arial" w:hAnsi="Arial" w:cs="Arial"/>
          <w:sz w:val="20"/>
          <w:szCs w:val="20"/>
        </w:rPr>
      </w:pPr>
      <w:r w:rsidRPr="005732FC">
        <w:rPr>
          <w:rFonts w:ascii="Arial" w:hAnsi="Arial" w:cs="Arial"/>
          <w:sz w:val="20"/>
          <w:szCs w:val="20"/>
        </w:rPr>
        <w:t xml:space="preserve">Se informa el detalle de los juicios registrados por un monto de $ </w:t>
      </w:r>
      <w:r w:rsidRPr="005732FC">
        <w:rPr>
          <w:rFonts w:ascii="Arial" w:eastAsia="Times New Roman" w:hAnsi="Arial" w:cs="Arial"/>
          <w:color w:val="000000"/>
          <w:kern w:val="0"/>
          <w:sz w:val="20"/>
          <w:szCs w:val="20"/>
          <w:lang w:eastAsia="es-MX"/>
          <w14:ligatures w14:val="none"/>
        </w:rPr>
        <w:t xml:space="preserve">1,489,391,614.45 </w:t>
      </w:r>
      <w:r w:rsidRPr="005732FC">
        <w:rPr>
          <w:rFonts w:ascii="Arial" w:hAnsi="Arial" w:cs="Arial"/>
          <w:sz w:val="20"/>
          <w:szCs w:val="20"/>
        </w:rPr>
        <w:t>al 30 de junio de 2025.</w:t>
      </w:r>
    </w:p>
    <w:p w14:paraId="5A9ACF3F" w14:textId="77777777" w:rsidR="00CC7C0F" w:rsidRPr="005732FC" w:rsidRDefault="00CC7C0F" w:rsidP="00CC7C0F">
      <w:pPr>
        <w:spacing w:after="0"/>
        <w:jc w:val="both"/>
        <w:rPr>
          <w:rFonts w:ascii="Arial" w:hAnsi="Arial" w:cs="Arial"/>
          <w:sz w:val="20"/>
          <w:szCs w:val="20"/>
        </w:rPr>
      </w:pPr>
    </w:p>
    <w:tbl>
      <w:tblPr>
        <w:tblW w:w="7040" w:type="dxa"/>
        <w:tblCellMar>
          <w:left w:w="70" w:type="dxa"/>
          <w:right w:w="70" w:type="dxa"/>
        </w:tblCellMar>
        <w:tblLook w:val="04A0" w:firstRow="1" w:lastRow="0" w:firstColumn="1" w:lastColumn="0" w:noHBand="0" w:noVBand="1"/>
      </w:tblPr>
      <w:tblGrid>
        <w:gridCol w:w="1820"/>
        <w:gridCol w:w="1600"/>
        <w:gridCol w:w="1740"/>
        <w:gridCol w:w="1880"/>
      </w:tblGrid>
      <w:tr w:rsidR="00CC7C0F" w:rsidRPr="005732FC" w14:paraId="33FD0EEC" w14:textId="77777777" w:rsidTr="008C77A6">
        <w:trPr>
          <w:trHeight w:val="270"/>
          <w:tblHeader/>
        </w:trPr>
        <w:tc>
          <w:tcPr>
            <w:tcW w:w="1820" w:type="dxa"/>
            <w:tcBorders>
              <w:top w:val="single" w:sz="8" w:space="0" w:color="auto"/>
              <w:left w:val="nil"/>
              <w:bottom w:val="single" w:sz="8" w:space="0" w:color="auto"/>
              <w:right w:val="nil"/>
            </w:tcBorders>
            <w:shd w:val="clear" w:color="000000" w:fill="BFBFBF"/>
            <w:noWrap/>
            <w:vAlign w:val="center"/>
            <w:hideMark/>
          </w:tcPr>
          <w:p w14:paraId="000D86A5" w14:textId="77777777" w:rsidR="00CC7C0F" w:rsidRPr="005732FC" w:rsidRDefault="00CC7C0F"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Materia</w:t>
            </w:r>
          </w:p>
        </w:tc>
        <w:tc>
          <w:tcPr>
            <w:tcW w:w="1600" w:type="dxa"/>
            <w:tcBorders>
              <w:top w:val="single" w:sz="8" w:space="0" w:color="auto"/>
              <w:left w:val="nil"/>
              <w:bottom w:val="single" w:sz="8" w:space="0" w:color="auto"/>
              <w:right w:val="nil"/>
            </w:tcBorders>
            <w:shd w:val="clear" w:color="000000" w:fill="BFBFBF"/>
            <w:noWrap/>
            <w:vAlign w:val="center"/>
            <w:hideMark/>
          </w:tcPr>
          <w:p w14:paraId="21F32ADB" w14:textId="77777777" w:rsidR="00CC7C0F" w:rsidRPr="005732FC" w:rsidRDefault="00CC7C0F"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1740" w:type="dxa"/>
            <w:tcBorders>
              <w:top w:val="single" w:sz="8" w:space="0" w:color="auto"/>
              <w:left w:val="nil"/>
              <w:bottom w:val="single" w:sz="8" w:space="0" w:color="auto"/>
              <w:right w:val="nil"/>
            </w:tcBorders>
            <w:shd w:val="clear" w:color="000000" w:fill="BFBFBF"/>
            <w:noWrap/>
            <w:vAlign w:val="center"/>
            <w:hideMark/>
          </w:tcPr>
          <w:p w14:paraId="08BFCEE8" w14:textId="77777777" w:rsidR="00CC7C0F" w:rsidRPr="005732FC" w:rsidRDefault="00CC7C0F"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No. de Expedientes</w:t>
            </w:r>
          </w:p>
        </w:tc>
        <w:tc>
          <w:tcPr>
            <w:tcW w:w="1880" w:type="dxa"/>
            <w:tcBorders>
              <w:top w:val="single" w:sz="8" w:space="0" w:color="auto"/>
              <w:left w:val="nil"/>
              <w:bottom w:val="single" w:sz="8" w:space="0" w:color="auto"/>
              <w:right w:val="nil"/>
            </w:tcBorders>
            <w:shd w:val="clear" w:color="000000" w:fill="BFBFBF"/>
            <w:noWrap/>
            <w:vAlign w:val="center"/>
            <w:hideMark/>
          </w:tcPr>
          <w:p w14:paraId="41715600" w14:textId="77777777" w:rsidR="00CC7C0F" w:rsidRPr="005732FC" w:rsidRDefault="00CC7C0F" w:rsidP="008C77A6">
            <w:pPr>
              <w:spacing w:after="0" w:line="240" w:lineRule="auto"/>
              <w:jc w:val="center"/>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Importe</w:t>
            </w:r>
          </w:p>
        </w:tc>
      </w:tr>
      <w:tr w:rsidR="00CC7C0F" w:rsidRPr="005732FC" w14:paraId="7FC5D12D" w14:textId="77777777" w:rsidTr="008C77A6">
        <w:trPr>
          <w:trHeight w:val="255"/>
        </w:trPr>
        <w:tc>
          <w:tcPr>
            <w:tcW w:w="1820" w:type="dxa"/>
            <w:tcBorders>
              <w:top w:val="nil"/>
              <w:left w:val="nil"/>
              <w:bottom w:val="nil"/>
              <w:right w:val="nil"/>
            </w:tcBorders>
            <w:shd w:val="clear" w:color="auto" w:fill="auto"/>
            <w:noWrap/>
            <w:vAlign w:val="center"/>
            <w:hideMark/>
          </w:tcPr>
          <w:p w14:paraId="0E32542C" w14:textId="77777777" w:rsidR="00CC7C0F" w:rsidRPr="005732FC" w:rsidRDefault="00CC7C0F"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Laboral</w:t>
            </w:r>
          </w:p>
        </w:tc>
        <w:tc>
          <w:tcPr>
            <w:tcW w:w="1600" w:type="dxa"/>
            <w:tcBorders>
              <w:top w:val="nil"/>
              <w:left w:val="nil"/>
              <w:bottom w:val="nil"/>
              <w:right w:val="nil"/>
            </w:tcBorders>
            <w:shd w:val="clear" w:color="auto" w:fill="auto"/>
            <w:noWrap/>
            <w:vAlign w:val="center"/>
            <w:hideMark/>
          </w:tcPr>
          <w:p w14:paraId="3BD3C6B2" w14:textId="77777777" w:rsidR="00CC7C0F" w:rsidRPr="005732FC" w:rsidRDefault="00CC7C0F" w:rsidP="008C77A6">
            <w:pPr>
              <w:spacing w:after="0" w:line="240" w:lineRule="auto"/>
              <w:rPr>
                <w:rFonts w:ascii="Arial" w:eastAsia="Times New Roman" w:hAnsi="Arial" w:cs="Arial"/>
                <w:color w:val="000000"/>
                <w:kern w:val="0"/>
                <w:sz w:val="20"/>
                <w:szCs w:val="20"/>
                <w:lang w:eastAsia="es-MX"/>
                <w14:ligatures w14:val="none"/>
              </w:rPr>
            </w:pPr>
          </w:p>
        </w:tc>
        <w:tc>
          <w:tcPr>
            <w:tcW w:w="1740" w:type="dxa"/>
            <w:tcBorders>
              <w:top w:val="nil"/>
              <w:left w:val="nil"/>
              <w:bottom w:val="nil"/>
              <w:right w:val="nil"/>
            </w:tcBorders>
            <w:shd w:val="clear" w:color="auto" w:fill="auto"/>
            <w:noWrap/>
            <w:vAlign w:val="center"/>
            <w:hideMark/>
          </w:tcPr>
          <w:p w14:paraId="467A62AC" w14:textId="77777777" w:rsidR="00CC7C0F" w:rsidRPr="005732FC" w:rsidRDefault="00CC7C0F" w:rsidP="008C77A6">
            <w:pPr>
              <w:spacing w:after="0" w:line="240" w:lineRule="auto"/>
              <w:jc w:val="center"/>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150</w:t>
            </w:r>
          </w:p>
        </w:tc>
        <w:tc>
          <w:tcPr>
            <w:tcW w:w="1880" w:type="dxa"/>
            <w:tcBorders>
              <w:top w:val="nil"/>
              <w:left w:val="nil"/>
              <w:bottom w:val="nil"/>
              <w:right w:val="nil"/>
            </w:tcBorders>
            <w:shd w:val="clear" w:color="auto" w:fill="auto"/>
            <w:noWrap/>
            <w:vAlign w:val="center"/>
            <w:hideMark/>
          </w:tcPr>
          <w:p w14:paraId="60282950" w14:textId="77777777" w:rsidR="00CC7C0F" w:rsidRPr="005732FC" w:rsidRDefault="00CC7C0F"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432,057,619.87</w:t>
            </w:r>
          </w:p>
        </w:tc>
      </w:tr>
      <w:tr w:rsidR="00CC7C0F" w:rsidRPr="005732FC" w14:paraId="4EB867DD" w14:textId="77777777" w:rsidTr="008C77A6">
        <w:trPr>
          <w:trHeight w:val="255"/>
        </w:trPr>
        <w:tc>
          <w:tcPr>
            <w:tcW w:w="3420" w:type="dxa"/>
            <w:gridSpan w:val="2"/>
            <w:tcBorders>
              <w:top w:val="nil"/>
              <w:left w:val="nil"/>
              <w:bottom w:val="nil"/>
              <w:right w:val="nil"/>
            </w:tcBorders>
            <w:shd w:val="clear" w:color="auto" w:fill="auto"/>
            <w:noWrap/>
            <w:vAlign w:val="center"/>
            <w:hideMark/>
          </w:tcPr>
          <w:p w14:paraId="62F6B9DC" w14:textId="77777777" w:rsidR="00CC7C0F" w:rsidRPr="005732FC" w:rsidRDefault="00CC7C0F"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Contencioso - Administrativo</w:t>
            </w:r>
          </w:p>
        </w:tc>
        <w:tc>
          <w:tcPr>
            <w:tcW w:w="1740" w:type="dxa"/>
            <w:tcBorders>
              <w:top w:val="nil"/>
              <w:left w:val="nil"/>
              <w:bottom w:val="nil"/>
              <w:right w:val="nil"/>
            </w:tcBorders>
            <w:shd w:val="clear" w:color="auto" w:fill="auto"/>
            <w:noWrap/>
            <w:vAlign w:val="center"/>
            <w:hideMark/>
          </w:tcPr>
          <w:p w14:paraId="2E451958" w14:textId="77777777" w:rsidR="00CC7C0F" w:rsidRPr="005732FC" w:rsidRDefault="00CC7C0F" w:rsidP="008C77A6">
            <w:pPr>
              <w:spacing w:after="0" w:line="240" w:lineRule="auto"/>
              <w:jc w:val="center"/>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62</w:t>
            </w:r>
          </w:p>
        </w:tc>
        <w:tc>
          <w:tcPr>
            <w:tcW w:w="1880" w:type="dxa"/>
            <w:tcBorders>
              <w:top w:val="nil"/>
              <w:left w:val="nil"/>
              <w:bottom w:val="nil"/>
              <w:right w:val="nil"/>
            </w:tcBorders>
            <w:shd w:val="clear" w:color="auto" w:fill="auto"/>
            <w:noWrap/>
            <w:vAlign w:val="center"/>
            <w:hideMark/>
          </w:tcPr>
          <w:p w14:paraId="2BEA1871" w14:textId="77777777" w:rsidR="00CC7C0F" w:rsidRPr="005732FC" w:rsidRDefault="00CC7C0F"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98,590,428.18</w:t>
            </w:r>
          </w:p>
        </w:tc>
      </w:tr>
      <w:tr w:rsidR="00CC7C0F" w:rsidRPr="005732FC" w14:paraId="465F6D55" w14:textId="77777777" w:rsidTr="008C77A6">
        <w:trPr>
          <w:trHeight w:val="255"/>
        </w:trPr>
        <w:tc>
          <w:tcPr>
            <w:tcW w:w="1820" w:type="dxa"/>
            <w:tcBorders>
              <w:top w:val="nil"/>
              <w:left w:val="nil"/>
              <w:bottom w:val="nil"/>
              <w:right w:val="nil"/>
            </w:tcBorders>
            <w:shd w:val="clear" w:color="auto" w:fill="auto"/>
            <w:noWrap/>
            <w:vAlign w:val="center"/>
            <w:hideMark/>
          </w:tcPr>
          <w:p w14:paraId="137567B3" w14:textId="77777777" w:rsidR="00CC7C0F" w:rsidRPr="005732FC" w:rsidRDefault="00CC7C0F"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Civil</w:t>
            </w:r>
          </w:p>
        </w:tc>
        <w:tc>
          <w:tcPr>
            <w:tcW w:w="1600" w:type="dxa"/>
            <w:tcBorders>
              <w:top w:val="nil"/>
              <w:left w:val="nil"/>
              <w:bottom w:val="nil"/>
              <w:right w:val="nil"/>
            </w:tcBorders>
            <w:shd w:val="clear" w:color="auto" w:fill="auto"/>
            <w:noWrap/>
            <w:vAlign w:val="center"/>
            <w:hideMark/>
          </w:tcPr>
          <w:p w14:paraId="1A17EC69" w14:textId="77777777" w:rsidR="00CC7C0F" w:rsidRPr="005732FC" w:rsidRDefault="00CC7C0F" w:rsidP="008C77A6">
            <w:pPr>
              <w:spacing w:after="0" w:line="240" w:lineRule="auto"/>
              <w:rPr>
                <w:rFonts w:ascii="Arial" w:eastAsia="Times New Roman" w:hAnsi="Arial" w:cs="Arial"/>
                <w:color w:val="000000"/>
                <w:kern w:val="0"/>
                <w:sz w:val="20"/>
                <w:szCs w:val="20"/>
                <w:lang w:eastAsia="es-MX"/>
                <w14:ligatures w14:val="none"/>
              </w:rPr>
            </w:pPr>
          </w:p>
        </w:tc>
        <w:tc>
          <w:tcPr>
            <w:tcW w:w="1740" w:type="dxa"/>
            <w:tcBorders>
              <w:top w:val="nil"/>
              <w:left w:val="nil"/>
              <w:bottom w:val="nil"/>
              <w:right w:val="nil"/>
            </w:tcBorders>
            <w:shd w:val="clear" w:color="auto" w:fill="auto"/>
            <w:noWrap/>
            <w:vAlign w:val="center"/>
            <w:hideMark/>
          </w:tcPr>
          <w:p w14:paraId="22D53C55" w14:textId="77777777" w:rsidR="00CC7C0F" w:rsidRPr="005732FC" w:rsidRDefault="00CC7C0F" w:rsidP="008C77A6">
            <w:pPr>
              <w:spacing w:after="0" w:line="240" w:lineRule="auto"/>
              <w:jc w:val="center"/>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20</w:t>
            </w:r>
          </w:p>
        </w:tc>
        <w:tc>
          <w:tcPr>
            <w:tcW w:w="1880" w:type="dxa"/>
            <w:tcBorders>
              <w:top w:val="nil"/>
              <w:left w:val="nil"/>
              <w:bottom w:val="nil"/>
              <w:right w:val="nil"/>
            </w:tcBorders>
            <w:shd w:val="clear" w:color="auto" w:fill="auto"/>
            <w:noWrap/>
            <w:vAlign w:val="center"/>
            <w:hideMark/>
          </w:tcPr>
          <w:p w14:paraId="69784797" w14:textId="77777777" w:rsidR="00CC7C0F" w:rsidRPr="005732FC" w:rsidRDefault="00CC7C0F"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921,801,308.87</w:t>
            </w:r>
          </w:p>
        </w:tc>
      </w:tr>
      <w:tr w:rsidR="00CC7C0F" w:rsidRPr="005732FC" w14:paraId="270A744D" w14:textId="77777777" w:rsidTr="008C77A6">
        <w:trPr>
          <w:trHeight w:val="270"/>
        </w:trPr>
        <w:tc>
          <w:tcPr>
            <w:tcW w:w="1820" w:type="dxa"/>
            <w:tcBorders>
              <w:top w:val="nil"/>
              <w:left w:val="nil"/>
              <w:bottom w:val="single" w:sz="8" w:space="0" w:color="auto"/>
              <w:right w:val="nil"/>
            </w:tcBorders>
            <w:shd w:val="clear" w:color="auto" w:fill="auto"/>
            <w:noWrap/>
            <w:vAlign w:val="center"/>
            <w:hideMark/>
          </w:tcPr>
          <w:p w14:paraId="55F22AEC" w14:textId="77777777" w:rsidR="00CC7C0F" w:rsidRPr="005732FC" w:rsidRDefault="00CC7C0F"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Amparo</w:t>
            </w:r>
          </w:p>
        </w:tc>
        <w:tc>
          <w:tcPr>
            <w:tcW w:w="1600" w:type="dxa"/>
            <w:tcBorders>
              <w:top w:val="nil"/>
              <w:left w:val="nil"/>
              <w:bottom w:val="single" w:sz="8" w:space="0" w:color="auto"/>
              <w:right w:val="nil"/>
            </w:tcBorders>
            <w:shd w:val="clear" w:color="auto" w:fill="auto"/>
            <w:noWrap/>
            <w:vAlign w:val="center"/>
            <w:hideMark/>
          </w:tcPr>
          <w:p w14:paraId="46657FCB" w14:textId="77777777" w:rsidR="00CC7C0F" w:rsidRPr="005732FC" w:rsidRDefault="00CC7C0F" w:rsidP="008C77A6">
            <w:pPr>
              <w:spacing w:after="0" w:line="240" w:lineRule="auto"/>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 </w:t>
            </w:r>
          </w:p>
        </w:tc>
        <w:tc>
          <w:tcPr>
            <w:tcW w:w="1740" w:type="dxa"/>
            <w:tcBorders>
              <w:top w:val="nil"/>
              <w:left w:val="nil"/>
              <w:bottom w:val="single" w:sz="8" w:space="0" w:color="auto"/>
              <w:right w:val="nil"/>
            </w:tcBorders>
            <w:shd w:val="clear" w:color="auto" w:fill="auto"/>
            <w:noWrap/>
            <w:vAlign w:val="center"/>
            <w:hideMark/>
          </w:tcPr>
          <w:p w14:paraId="3EE46357" w14:textId="77777777" w:rsidR="00CC7C0F" w:rsidRPr="005732FC" w:rsidRDefault="00CC7C0F" w:rsidP="008C77A6">
            <w:pPr>
              <w:spacing w:after="0" w:line="240" w:lineRule="auto"/>
              <w:jc w:val="center"/>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177</w:t>
            </w:r>
          </w:p>
        </w:tc>
        <w:tc>
          <w:tcPr>
            <w:tcW w:w="1880" w:type="dxa"/>
            <w:tcBorders>
              <w:top w:val="nil"/>
              <w:left w:val="nil"/>
              <w:bottom w:val="single" w:sz="8" w:space="0" w:color="auto"/>
              <w:right w:val="nil"/>
            </w:tcBorders>
            <w:shd w:val="clear" w:color="auto" w:fill="auto"/>
            <w:noWrap/>
            <w:vAlign w:val="center"/>
            <w:hideMark/>
          </w:tcPr>
          <w:p w14:paraId="5AC3DD37" w14:textId="77777777" w:rsidR="00CC7C0F" w:rsidRPr="005732FC" w:rsidRDefault="00CC7C0F" w:rsidP="008C77A6">
            <w:pPr>
              <w:spacing w:after="0" w:line="240" w:lineRule="auto"/>
              <w:jc w:val="right"/>
              <w:rPr>
                <w:rFonts w:ascii="Arial" w:eastAsia="Times New Roman" w:hAnsi="Arial" w:cs="Arial"/>
                <w:color w:val="000000"/>
                <w:kern w:val="0"/>
                <w:sz w:val="20"/>
                <w:szCs w:val="20"/>
                <w:lang w:eastAsia="es-MX"/>
                <w14:ligatures w14:val="none"/>
              </w:rPr>
            </w:pPr>
            <w:r w:rsidRPr="005732FC">
              <w:rPr>
                <w:rFonts w:ascii="Arial" w:eastAsia="Times New Roman" w:hAnsi="Arial" w:cs="Arial"/>
                <w:color w:val="000000"/>
                <w:kern w:val="0"/>
                <w:sz w:val="20"/>
                <w:szCs w:val="20"/>
                <w:lang w:eastAsia="es-MX"/>
                <w14:ligatures w14:val="none"/>
              </w:rPr>
              <w:t>36,942,257.53</w:t>
            </w:r>
          </w:p>
        </w:tc>
      </w:tr>
      <w:tr w:rsidR="00CC7C0F" w:rsidRPr="005732FC" w14:paraId="49A9C318" w14:textId="77777777" w:rsidTr="008C77A6">
        <w:trPr>
          <w:trHeight w:val="270"/>
        </w:trPr>
        <w:tc>
          <w:tcPr>
            <w:tcW w:w="1820" w:type="dxa"/>
            <w:tcBorders>
              <w:top w:val="nil"/>
              <w:left w:val="nil"/>
              <w:bottom w:val="single" w:sz="8" w:space="0" w:color="auto"/>
              <w:right w:val="nil"/>
            </w:tcBorders>
            <w:shd w:val="clear" w:color="000000" w:fill="BFBFBF"/>
            <w:noWrap/>
            <w:vAlign w:val="center"/>
            <w:hideMark/>
          </w:tcPr>
          <w:p w14:paraId="571C8856" w14:textId="77777777" w:rsidR="00CC7C0F" w:rsidRPr="005732FC" w:rsidRDefault="00CC7C0F"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BFBFBF"/>
            <w:noWrap/>
            <w:vAlign w:val="center"/>
            <w:hideMark/>
          </w:tcPr>
          <w:p w14:paraId="7CA72753" w14:textId="77777777" w:rsidR="00CC7C0F" w:rsidRPr="005732FC" w:rsidRDefault="00CC7C0F"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1740" w:type="dxa"/>
            <w:tcBorders>
              <w:top w:val="nil"/>
              <w:left w:val="nil"/>
              <w:bottom w:val="single" w:sz="8" w:space="0" w:color="auto"/>
              <w:right w:val="nil"/>
            </w:tcBorders>
            <w:shd w:val="clear" w:color="000000" w:fill="BFBFBF"/>
            <w:noWrap/>
            <w:vAlign w:val="center"/>
            <w:hideMark/>
          </w:tcPr>
          <w:p w14:paraId="339CA46C" w14:textId="77777777" w:rsidR="00CC7C0F" w:rsidRPr="005732FC" w:rsidRDefault="00CC7C0F" w:rsidP="008C77A6">
            <w:pPr>
              <w:spacing w:after="0" w:line="240" w:lineRule="auto"/>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 </w:t>
            </w:r>
          </w:p>
        </w:tc>
        <w:tc>
          <w:tcPr>
            <w:tcW w:w="1880" w:type="dxa"/>
            <w:tcBorders>
              <w:top w:val="nil"/>
              <w:left w:val="nil"/>
              <w:bottom w:val="single" w:sz="8" w:space="0" w:color="auto"/>
              <w:right w:val="nil"/>
            </w:tcBorders>
            <w:shd w:val="clear" w:color="000000" w:fill="BFBFBF"/>
            <w:noWrap/>
            <w:vAlign w:val="center"/>
            <w:hideMark/>
          </w:tcPr>
          <w:p w14:paraId="1B5C9416" w14:textId="77777777" w:rsidR="00CC7C0F" w:rsidRPr="005732FC" w:rsidRDefault="00CC7C0F" w:rsidP="008C77A6">
            <w:pPr>
              <w:spacing w:after="0" w:line="240" w:lineRule="auto"/>
              <w:jc w:val="right"/>
              <w:rPr>
                <w:rFonts w:ascii="Arial" w:eastAsia="Times New Roman" w:hAnsi="Arial" w:cs="Arial"/>
                <w:b/>
                <w:bCs/>
                <w:color w:val="000000"/>
                <w:kern w:val="0"/>
                <w:sz w:val="20"/>
                <w:szCs w:val="20"/>
                <w:lang w:eastAsia="es-MX"/>
                <w14:ligatures w14:val="none"/>
              </w:rPr>
            </w:pPr>
            <w:r w:rsidRPr="005732FC">
              <w:rPr>
                <w:rFonts w:ascii="Arial" w:eastAsia="Times New Roman" w:hAnsi="Arial" w:cs="Arial"/>
                <w:b/>
                <w:bCs/>
                <w:color w:val="000000"/>
                <w:kern w:val="0"/>
                <w:sz w:val="20"/>
                <w:szCs w:val="20"/>
                <w:lang w:eastAsia="es-MX"/>
                <w14:ligatures w14:val="none"/>
              </w:rPr>
              <w:t>1,489,391,614.45</w:t>
            </w:r>
          </w:p>
        </w:tc>
      </w:tr>
    </w:tbl>
    <w:p w14:paraId="5EBC57C3" w14:textId="77777777" w:rsidR="001C045C" w:rsidRPr="005732FC" w:rsidRDefault="001C045C" w:rsidP="001C045C">
      <w:pPr>
        <w:spacing w:after="0"/>
        <w:jc w:val="both"/>
        <w:rPr>
          <w:rFonts w:ascii="Arial" w:hAnsi="Arial" w:cs="Arial"/>
          <w:sz w:val="20"/>
          <w:szCs w:val="20"/>
        </w:rPr>
      </w:pPr>
    </w:p>
    <w:p w14:paraId="3FD72A8E" w14:textId="603256B2" w:rsidR="00BA3347" w:rsidRPr="005732FC" w:rsidRDefault="00775102" w:rsidP="005D2B3E">
      <w:pPr>
        <w:pStyle w:val="Ttulo2"/>
        <w:ind w:hanging="284"/>
        <w:rPr>
          <w:rFonts w:ascii="Arial" w:hAnsi="Arial" w:cs="Arial"/>
          <w:b/>
          <w:bCs/>
          <w:sz w:val="20"/>
          <w:szCs w:val="20"/>
        </w:rPr>
      </w:pPr>
      <w:r w:rsidRPr="005732FC">
        <w:rPr>
          <w:rFonts w:ascii="Arial" w:hAnsi="Arial" w:cs="Arial"/>
          <w:b/>
          <w:bCs/>
          <w:color w:val="auto"/>
          <w:sz w:val="20"/>
          <w:szCs w:val="20"/>
        </w:rPr>
        <w:t xml:space="preserve">1.2 </w:t>
      </w:r>
      <w:r w:rsidR="00BA3347" w:rsidRPr="005732FC">
        <w:rPr>
          <w:rFonts w:ascii="Arial" w:hAnsi="Arial" w:cs="Arial"/>
          <w:b/>
          <w:bCs/>
          <w:color w:val="auto"/>
          <w:sz w:val="20"/>
          <w:szCs w:val="20"/>
        </w:rPr>
        <w:t xml:space="preserve">Presupuestarias. </w:t>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r w:rsidR="00BA3347" w:rsidRPr="005732FC">
        <w:rPr>
          <w:rFonts w:ascii="Arial" w:hAnsi="Arial" w:cs="Arial"/>
          <w:b/>
          <w:bCs/>
          <w:sz w:val="20"/>
          <w:szCs w:val="20"/>
        </w:rPr>
        <w:tab/>
      </w:r>
    </w:p>
    <w:p w14:paraId="3C8859FC" w14:textId="77777777"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55F0EE90" w14:textId="1B8114AF" w:rsidR="00775102" w:rsidRPr="005732FC" w:rsidRDefault="00BA3347" w:rsidP="005D2B3E">
      <w:pPr>
        <w:spacing w:after="0"/>
        <w:jc w:val="both"/>
        <w:rPr>
          <w:rFonts w:ascii="Arial" w:hAnsi="Arial" w:cs="Arial"/>
          <w:sz w:val="20"/>
          <w:szCs w:val="20"/>
        </w:rPr>
      </w:pPr>
      <w:r w:rsidRPr="005732FC">
        <w:rPr>
          <w:rFonts w:ascii="Arial" w:hAnsi="Arial" w:cs="Arial"/>
          <w:sz w:val="20"/>
          <w:szCs w:val="20"/>
        </w:rPr>
        <w:t>Las cuentas de Orden Presupuestales se llevan para registrar las operaciones presupuestales que afectan la Ley de Ingresos del Ejercicio y el Presupuesto de Egresos de la Entidad autorizada para el mismo periodo.</w:t>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16FCF83C" w14:textId="3BE17E39"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r w:rsidRPr="005732FC">
        <w:rPr>
          <w:rFonts w:ascii="Arial" w:hAnsi="Arial" w:cs="Arial"/>
          <w:sz w:val="20"/>
          <w:szCs w:val="20"/>
        </w:rPr>
        <w:tab/>
      </w:r>
    </w:p>
    <w:p w14:paraId="0727BE95" w14:textId="77777777" w:rsidR="0087733E" w:rsidRPr="005732FC" w:rsidRDefault="00BA3347" w:rsidP="005D2B3E">
      <w:pPr>
        <w:spacing w:after="0"/>
        <w:jc w:val="both"/>
        <w:rPr>
          <w:rFonts w:ascii="Arial" w:hAnsi="Arial" w:cs="Arial"/>
          <w:sz w:val="20"/>
          <w:szCs w:val="20"/>
        </w:rPr>
      </w:pPr>
      <w:r w:rsidRPr="005732FC">
        <w:rPr>
          <w:rFonts w:ascii="Arial" w:hAnsi="Arial" w:cs="Arial"/>
          <w:sz w:val="20"/>
          <w:szCs w:val="20"/>
        </w:rPr>
        <w:t>A continuación, se presenta un resumen de las cuentas de orden relacionadas con el Municipio de Benito Juárez y sus montos de avance registrados al periodo que se informa:</w:t>
      </w:r>
    </w:p>
    <w:p w14:paraId="604531C8" w14:textId="77777777" w:rsidR="0087733E" w:rsidRPr="005732FC" w:rsidRDefault="0087733E" w:rsidP="005D2B3E">
      <w:pPr>
        <w:spacing w:after="0"/>
        <w:jc w:val="both"/>
        <w:rPr>
          <w:rFonts w:ascii="Arial" w:hAnsi="Arial" w:cs="Arial"/>
          <w:sz w:val="20"/>
          <w:szCs w:val="20"/>
        </w:rPr>
      </w:pPr>
    </w:p>
    <w:tbl>
      <w:tblPr>
        <w:tblW w:w="7040" w:type="dxa"/>
        <w:tblCellMar>
          <w:left w:w="70" w:type="dxa"/>
          <w:right w:w="70" w:type="dxa"/>
        </w:tblCellMar>
        <w:tblLook w:val="04A0" w:firstRow="1" w:lastRow="0" w:firstColumn="1" w:lastColumn="0" w:noHBand="0" w:noVBand="1"/>
      </w:tblPr>
      <w:tblGrid>
        <w:gridCol w:w="1490"/>
        <w:gridCol w:w="3178"/>
        <w:gridCol w:w="294"/>
        <w:gridCol w:w="168"/>
        <w:gridCol w:w="1910"/>
      </w:tblGrid>
      <w:tr w:rsidR="0087733E" w:rsidRPr="00052B74" w14:paraId="18285093" w14:textId="77777777" w:rsidTr="00193697">
        <w:trPr>
          <w:trHeight w:val="20"/>
          <w:tblHeader/>
        </w:trPr>
        <w:tc>
          <w:tcPr>
            <w:tcW w:w="7040" w:type="dxa"/>
            <w:gridSpan w:val="5"/>
            <w:tcBorders>
              <w:top w:val="single" w:sz="8" w:space="0" w:color="auto"/>
              <w:bottom w:val="single" w:sz="8" w:space="0" w:color="auto"/>
            </w:tcBorders>
            <w:shd w:val="clear" w:color="000000" w:fill="D9D9D9"/>
            <w:vAlign w:val="center"/>
            <w:hideMark/>
          </w:tcPr>
          <w:p w14:paraId="52761C4B" w14:textId="77777777" w:rsidR="0087733E" w:rsidRPr="00052B74" w:rsidRDefault="0087733E" w:rsidP="005D2B3E">
            <w:pPr>
              <w:spacing w:after="0" w:line="240" w:lineRule="auto"/>
              <w:jc w:val="center"/>
              <w:rPr>
                <w:rFonts w:ascii="Arial" w:eastAsia="Times New Roman" w:hAnsi="Arial" w:cs="Arial"/>
                <w:b/>
                <w:bCs/>
                <w:color w:val="000000"/>
                <w:kern w:val="0"/>
                <w:sz w:val="20"/>
                <w:szCs w:val="20"/>
                <w:lang w:eastAsia="es-MX"/>
                <w14:ligatures w14:val="none"/>
              </w:rPr>
            </w:pPr>
            <w:r w:rsidRPr="00052B74">
              <w:rPr>
                <w:rFonts w:ascii="Arial" w:eastAsia="Times New Roman" w:hAnsi="Arial" w:cs="Arial"/>
                <w:b/>
                <w:bCs/>
                <w:color w:val="000000"/>
                <w:kern w:val="0"/>
                <w:sz w:val="20"/>
                <w:szCs w:val="20"/>
                <w:lang w:eastAsia="es-MX"/>
                <w14:ligatures w14:val="none"/>
              </w:rPr>
              <w:t>Cuentas de Orden Presupuestarias de Ingresos</w:t>
            </w:r>
          </w:p>
        </w:tc>
      </w:tr>
      <w:tr w:rsidR="0087733E" w:rsidRPr="00052B74" w14:paraId="682A1F87" w14:textId="77777777" w:rsidTr="00921C5C">
        <w:trPr>
          <w:trHeight w:val="20"/>
          <w:tblHeader/>
        </w:trPr>
        <w:tc>
          <w:tcPr>
            <w:tcW w:w="4962" w:type="dxa"/>
            <w:gridSpan w:val="3"/>
            <w:tcBorders>
              <w:top w:val="single" w:sz="8" w:space="0" w:color="auto"/>
              <w:bottom w:val="single" w:sz="4" w:space="0" w:color="auto"/>
            </w:tcBorders>
            <w:shd w:val="clear" w:color="000000" w:fill="D9D9D9"/>
            <w:vAlign w:val="center"/>
            <w:hideMark/>
          </w:tcPr>
          <w:p w14:paraId="5DA7DD62" w14:textId="77777777" w:rsidR="0087733E" w:rsidRPr="00052B74" w:rsidRDefault="0087733E" w:rsidP="005D2B3E">
            <w:pPr>
              <w:spacing w:after="0" w:line="240" w:lineRule="auto"/>
              <w:jc w:val="center"/>
              <w:rPr>
                <w:rFonts w:ascii="Arial" w:eastAsia="Times New Roman" w:hAnsi="Arial" w:cs="Arial"/>
                <w:b/>
                <w:bCs/>
                <w:color w:val="000000"/>
                <w:kern w:val="0"/>
                <w:sz w:val="20"/>
                <w:szCs w:val="20"/>
                <w:lang w:eastAsia="es-MX"/>
                <w14:ligatures w14:val="none"/>
              </w:rPr>
            </w:pPr>
            <w:r w:rsidRPr="00052B74">
              <w:rPr>
                <w:rFonts w:ascii="Arial" w:eastAsia="Times New Roman" w:hAnsi="Arial" w:cs="Arial"/>
                <w:b/>
                <w:bCs/>
                <w:color w:val="000000"/>
                <w:kern w:val="0"/>
                <w:sz w:val="20"/>
                <w:szCs w:val="20"/>
                <w:lang w:eastAsia="es-MX"/>
                <w14:ligatures w14:val="none"/>
              </w:rPr>
              <w:t>Concepto</w:t>
            </w:r>
          </w:p>
        </w:tc>
        <w:tc>
          <w:tcPr>
            <w:tcW w:w="2078" w:type="dxa"/>
            <w:gridSpan w:val="2"/>
            <w:tcBorders>
              <w:top w:val="nil"/>
              <w:left w:val="nil"/>
              <w:bottom w:val="single" w:sz="4" w:space="0" w:color="auto"/>
            </w:tcBorders>
            <w:shd w:val="clear" w:color="000000" w:fill="D9D9D9"/>
            <w:vAlign w:val="center"/>
            <w:hideMark/>
          </w:tcPr>
          <w:p w14:paraId="0BE4EB78" w14:textId="4156851C" w:rsidR="0087733E" w:rsidRPr="00052B74" w:rsidRDefault="00502B0D" w:rsidP="00EE5855">
            <w:pPr>
              <w:spacing w:after="0" w:line="240" w:lineRule="auto"/>
              <w:jc w:val="right"/>
              <w:rPr>
                <w:rFonts w:ascii="Arial" w:eastAsia="Times New Roman" w:hAnsi="Arial" w:cs="Arial"/>
                <w:b/>
                <w:bCs/>
                <w:color w:val="000000"/>
                <w:kern w:val="0"/>
                <w:sz w:val="20"/>
                <w:szCs w:val="20"/>
                <w:lang w:eastAsia="es-MX"/>
                <w14:ligatures w14:val="none"/>
              </w:rPr>
            </w:pPr>
            <w:r w:rsidRPr="00052B74">
              <w:rPr>
                <w:rFonts w:ascii="Arial" w:eastAsia="Times New Roman" w:hAnsi="Arial" w:cs="Arial"/>
                <w:b/>
                <w:bCs/>
                <w:color w:val="000000"/>
                <w:kern w:val="0"/>
                <w:sz w:val="20"/>
                <w:szCs w:val="20"/>
                <w:lang w:eastAsia="es-MX"/>
                <w14:ligatures w14:val="none"/>
              </w:rPr>
              <w:t>3</w:t>
            </w:r>
            <w:r w:rsidR="00A20367" w:rsidRPr="00052B74">
              <w:rPr>
                <w:rFonts w:ascii="Arial" w:eastAsia="Times New Roman" w:hAnsi="Arial" w:cs="Arial"/>
                <w:b/>
                <w:bCs/>
                <w:color w:val="000000"/>
                <w:kern w:val="0"/>
                <w:sz w:val="20"/>
                <w:szCs w:val="20"/>
                <w:lang w:eastAsia="es-MX"/>
                <w14:ligatures w14:val="none"/>
              </w:rPr>
              <w:t>0</w:t>
            </w:r>
            <w:r w:rsidR="0030455F" w:rsidRPr="00052B74">
              <w:rPr>
                <w:rFonts w:ascii="Arial" w:eastAsia="Times New Roman" w:hAnsi="Arial" w:cs="Arial"/>
                <w:b/>
                <w:bCs/>
                <w:color w:val="000000"/>
                <w:kern w:val="0"/>
                <w:sz w:val="20"/>
                <w:szCs w:val="20"/>
                <w:lang w:eastAsia="es-MX"/>
                <w14:ligatures w14:val="none"/>
              </w:rPr>
              <w:t xml:space="preserve"> de </w:t>
            </w:r>
            <w:r w:rsidR="00A20367" w:rsidRPr="00052B74">
              <w:rPr>
                <w:rFonts w:ascii="Arial" w:eastAsia="Times New Roman" w:hAnsi="Arial" w:cs="Arial"/>
                <w:b/>
                <w:bCs/>
                <w:color w:val="000000"/>
                <w:kern w:val="0"/>
                <w:sz w:val="20"/>
                <w:szCs w:val="20"/>
                <w:lang w:eastAsia="es-MX"/>
                <w14:ligatures w14:val="none"/>
              </w:rPr>
              <w:t>junio</w:t>
            </w:r>
            <w:r w:rsidR="002234C8" w:rsidRPr="00052B74">
              <w:rPr>
                <w:rFonts w:ascii="Arial" w:eastAsia="Times New Roman" w:hAnsi="Arial" w:cs="Arial"/>
                <w:b/>
                <w:bCs/>
                <w:color w:val="000000"/>
                <w:kern w:val="0"/>
                <w:sz w:val="20"/>
                <w:szCs w:val="20"/>
                <w:lang w:eastAsia="es-MX"/>
                <w14:ligatures w14:val="none"/>
              </w:rPr>
              <w:t xml:space="preserve"> 202</w:t>
            </w:r>
            <w:r w:rsidR="008010DC" w:rsidRPr="00052B74">
              <w:rPr>
                <w:rFonts w:ascii="Arial" w:eastAsia="Times New Roman" w:hAnsi="Arial" w:cs="Arial"/>
                <w:b/>
                <w:bCs/>
                <w:color w:val="000000"/>
                <w:kern w:val="0"/>
                <w:sz w:val="20"/>
                <w:szCs w:val="20"/>
                <w:lang w:eastAsia="es-MX"/>
                <w14:ligatures w14:val="none"/>
              </w:rPr>
              <w:t>5</w:t>
            </w:r>
          </w:p>
        </w:tc>
      </w:tr>
      <w:tr w:rsidR="00824448" w:rsidRPr="00052B74" w14:paraId="19F70E5F" w14:textId="77777777" w:rsidTr="00DC2950">
        <w:trPr>
          <w:trHeight w:val="20"/>
        </w:trPr>
        <w:tc>
          <w:tcPr>
            <w:tcW w:w="4668" w:type="dxa"/>
            <w:gridSpan w:val="2"/>
            <w:tcBorders>
              <w:top w:val="single" w:sz="4" w:space="0" w:color="auto"/>
            </w:tcBorders>
            <w:shd w:val="clear" w:color="auto" w:fill="auto"/>
            <w:noWrap/>
            <w:vAlign w:val="center"/>
            <w:hideMark/>
          </w:tcPr>
          <w:p w14:paraId="33085C14" w14:textId="77777777" w:rsidR="00824448" w:rsidRPr="00052B74" w:rsidRDefault="00824448" w:rsidP="00824448">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Ley de Ingresos Estimada</w:t>
            </w:r>
          </w:p>
        </w:tc>
        <w:tc>
          <w:tcPr>
            <w:tcW w:w="462" w:type="dxa"/>
            <w:gridSpan w:val="2"/>
            <w:tcBorders>
              <w:top w:val="single" w:sz="4" w:space="0" w:color="auto"/>
            </w:tcBorders>
            <w:shd w:val="clear" w:color="auto" w:fill="auto"/>
            <w:vAlign w:val="center"/>
            <w:hideMark/>
          </w:tcPr>
          <w:p w14:paraId="62C14388" w14:textId="77777777" w:rsidR="00824448" w:rsidRPr="00052B74" w:rsidRDefault="00824448" w:rsidP="00824448">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 </w:t>
            </w:r>
          </w:p>
        </w:tc>
        <w:tc>
          <w:tcPr>
            <w:tcW w:w="1910" w:type="dxa"/>
            <w:tcBorders>
              <w:top w:val="single" w:sz="4" w:space="0" w:color="auto"/>
            </w:tcBorders>
            <w:shd w:val="clear" w:color="auto" w:fill="auto"/>
          </w:tcPr>
          <w:p w14:paraId="2B489133" w14:textId="5E181947" w:rsidR="00824448" w:rsidRPr="00052B74" w:rsidRDefault="00824448" w:rsidP="00824448">
            <w:pPr>
              <w:spacing w:after="0" w:line="240" w:lineRule="auto"/>
              <w:jc w:val="right"/>
              <w:rPr>
                <w:rFonts w:ascii="Arial" w:hAnsi="Arial" w:cs="Arial"/>
                <w:color w:val="000000"/>
                <w:sz w:val="20"/>
                <w:szCs w:val="20"/>
              </w:rPr>
            </w:pPr>
            <w:r w:rsidRPr="00052B74">
              <w:rPr>
                <w:rFonts w:ascii="Arial" w:hAnsi="Arial" w:cs="Arial"/>
                <w:color w:val="000000"/>
                <w:sz w:val="20"/>
                <w:szCs w:val="20"/>
              </w:rPr>
              <w:t>4,393,415,740.00</w:t>
            </w:r>
          </w:p>
        </w:tc>
      </w:tr>
      <w:tr w:rsidR="00824448" w:rsidRPr="00052B74" w14:paraId="2B2BF4A4" w14:textId="77777777" w:rsidTr="00DC2950">
        <w:trPr>
          <w:trHeight w:val="20"/>
        </w:trPr>
        <w:tc>
          <w:tcPr>
            <w:tcW w:w="4668" w:type="dxa"/>
            <w:gridSpan w:val="2"/>
            <w:tcBorders>
              <w:top w:val="nil"/>
            </w:tcBorders>
            <w:shd w:val="clear" w:color="auto" w:fill="auto"/>
            <w:noWrap/>
            <w:vAlign w:val="center"/>
            <w:hideMark/>
          </w:tcPr>
          <w:p w14:paraId="35EF18DF" w14:textId="77777777" w:rsidR="00824448" w:rsidRPr="00052B74" w:rsidRDefault="00824448" w:rsidP="00824448">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Ley de Ingresos por Ejecutar</w:t>
            </w:r>
          </w:p>
        </w:tc>
        <w:tc>
          <w:tcPr>
            <w:tcW w:w="462" w:type="dxa"/>
            <w:gridSpan w:val="2"/>
            <w:tcBorders>
              <w:top w:val="nil"/>
            </w:tcBorders>
            <w:shd w:val="clear" w:color="auto" w:fill="auto"/>
            <w:vAlign w:val="center"/>
            <w:hideMark/>
          </w:tcPr>
          <w:p w14:paraId="3099EBFE" w14:textId="77777777" w:rsidR="00824448" w:rsidRPr="00052B74" w:rsidRDefault="00824448" w:rsidP="00824448">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 </w:t>
            </w:r>
          </w:p>
        </w:tc>
        <w:tc>
          <w:tcPr>
            <w:tcW w:w="1910" w:type="dxa"/>
            <w:tcBorders>
              <w:top w:val="nil"/>
            </w:tcBorders>
            <w:shd w:val="clear" w:color="auto" w:fill="auto"/>
          </w:tcPr>
          <w:p w14:paraId="1BFF45F8" w14:textId="12CAB018" w:rsidR="00824448" w:rsidRPr="00052B74" w:rsidRDefault="00824448" w:rsidP="00824448">
            <w:pPr>
              <w:spacing w:after="0" w:line="240" w:lineRule="auto"/>
              <w:jc w:val="right"/>
              <w:rPr>
                <w:rFonts w:ascii="Arial" w:hAnsi="Arial" w:cs="Arial"/>
                <w:color w:val="000000"/>
                <w:sz w:val="20"/>
                <w:szCs w:val="20"/>
              </w:rPr>
            </w:pPr>
            <w:r w:rsidRPr="00052B74">
              <w:rPr>
                <w:rFonts w:ascii="Arial" w:hAnsi="Arial" w:cs="Arial"/>
                <w:color w:val="000000"/>
                <w:sz w:val="20"/>
                <w:szCs w:val="20"/>
              </w:rPr>
              <w:t>-110,535,694.5</w:t>
            </w:r>
            <w:r w:rsidR="00F750CD" w:rsidRPr="00052B74">
              <w:rPr>
                <w:rFonts w:ascii="Arial" w:hAnsi="Arial" w:cs="Arial"/>
                <w:color w:val="000000"/>
                <w:sz w:val="20"/>
                <w:szCs w:val="20"/>
              </w:rPr>
              <w:t>3</w:t>
            </w:r>
          </w:p>
        </w:tc>
      </w:tr>
      <w:tr w:rsidR="00BA2A5E" w:rsidRPr="00052B74" w14:paraId="05E654E1" w14:textId="77777777" w:rsidTr="002D735B">
        <w:trPr>
          <w:trHeight w:val="20"/>
        </w:trPr>
        <w:tc>
          <w:tcPr>
            <w:tcW w:w="5130" w:type="dxa"/>
            <w:gridSpan w:val="4"/>
            <w:tcBorders>
              <w:top w:val="nil"/>
            </w:tcBorders>
            <w:shd w:val="clear" w:color="auto" w:fill="auto"/>
            <w:noWrap/>
            <w:vAlign w:val="center"/>
            <w:hideMark/>
          </w:tcPr>
          <w:p w14:paraId="5054FE3C" w14:textId="77777777" w:rsidR="00BA2A5E" w:rsidRPr="00052B74" w:rsidRDefault="00BA2A5E" w:rsidP="00BA2A5E">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lastRenderedPageBreak/>
              <w:t>Modificaciones a la Ley de Ingresos Estimada</w:t>
            </w:r>
          </w:p>
        </w:tc>
        <w:tc>
          <w:tcPr>
            <w:tcW w:w="1910" w:type="dxa"/>
            <w:tcBorders>
              <w:top w:val="nil"/>
            </w:tcBorders>
            <w:shd w:val="clear" w:color="auto" w:fill="auto"/>
            <w:vAlign w:val="center"/>
          </w:tcPr>
          <w:p w14:paraId="67AA28A6" w14:textId="1BFB8978" w:rsidR="00BA2A5E" w:rsidRPr="00052B74" w:rsidRDefault="00BA2A5E" w:rsidP="00EE5855">
            <w:pPr>
              <w:spacing w:after="0" w:line="240" w:lineRule="auto"/>
              <w:jc w:val="right"/>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0.00</w:t>
            </w:r>
          </w:p>
        </w:tc>
      </w:tr>
      <w:tr w:rsidR="006D4537" w:rsidRPr="00052B74" w14:paraId="5E226406" w14:textId="77777777" w:rsidTr="00C502CD">
        <w:trPr>
          <w:trHeight w:val="20"/>
        </w:trPr>
        <w:tc>
          <w:tcPr>
            <w:tcW w:w="4668" w:type="dxa"/>
            <w:gridSpan w:val="2"/>
            <w:tcBorders>
              <w:top w:val="nil"/>
            </w:tcBorders>
            <w:shd w:val="clear" w:color="auto" w:fill="auto"/>
            <w:noWrap/>
            <w:vAlign w:val="center"/>
            <w:hideMark/>
          </w:tcPr>
          <w:p w14:paraId="7052F6C7" w14:textId="77777777" w:rsidR="006D4537" w:rsidRPr="00052B74" w:rsidRDefault="006D4537" w:rsidP="006D4537">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Ley de Ingresos Devengada</w:t>
            </w:r>
          </w:p>
        </w:tc>
        <w:tc>
          <w:tcPr>
            <w:tcW w:w="462" w:type="dxa"/>
            <w:gridSpan w:val="2"/>
            <w:tcBorders>
              <w:top w:val="nil"/>
            </w:tcBorders>
            <w:shd w:val="clear" w:color="auto" w:fill="auto"/>
            <w:vAlign w:val="center"/>
            <w:hideMark/>
          </w:tcPr>
          <w:p w14:paraId="39D23597" w14:textId="77777777" w:rsidR="006D4537" w:rsidRPr="00052B74" w:rsidRDefault="006D4537" w:rsidP="006D4537">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 </w:t>
            </w:r>
          </w:p>
        </w:tc>
        <w:tc>
          <w:tcPr>
            <w:tcW w:w="1910" w:type="dxa"/>
            <w:tcBorders>
              <w:top w:val="nil"/>
            </w:tcBorders>
            <w:shd w:val="clear" w:color="auto" w:fill="auto"/>
            <w:vAlign w:val="bottom"/>
          </w:tcPr>
          <w:p w14:paraId="505EC117" w14:textId="122DC6E3" w:rsidR="006D4537" w:rsidRPr="00052B74" w:rsidRDefault="00824448" w:rsidP="006D4537">
            <w:pPr>
              <w:spacing w:after="0" w:line="240" w:lineRule="auto"/>
              <w:jc w:val="right"/>
              <w:rPr>
                <w:rFonts w:ascii="Arial" w:hAnsi="Arial" w:cs="Arial"/>
                <w:sz w:val="20"/>
                <w:szCs w:val="20"/>
              </w:rPr>
            </w:pPr>
            <w:r w:rsidRPr="00052B74">
              <w:rPr>
                <w:rFonts w:ascii="Arial" w:hAnsi="Arial" w:cs="Arial"/>
                <w:color w:val="000000"/>
                <w:sz w:val="20"/>
                <w:szCs w:val="20"/>
              </w:rPr>
              <w:t>4,503,951,434.5</w:t>
            </w:r>
            <w:r w:rsidR="00F750CD" w:rsidRPr="00052B74">
              <w:rPr>
                <w:rFonts w:ascii="Arial" w:hAnsi="Arial" w:cs="Arial"/>
                <w:color w:val="000000"/>
                <w:sz w:val="20"/>
                <w:szCs w:val="20"/>
              </w:rPr>
              <w:t>3</w:t>
            </w:r>
          </w:p>
        </w:tc>
      </w:tr>
      <w:tr w:rsidR="006D4537" w:rsidRPr="005732FC" w14:paraId="78A5420E" w14:textId="77777777" w:rsidTr="00C502CD">
        <w:trPr>
          <w:trHeight w:val="20"/>
        </w:trPr>
        <w:tc>
          <w:tcPr>
            <w:tcW w:w="4668" w:type="dxa"/>
            <w:gridSpan w:val="2"/>
            <w:tcBorders>
              <w:top w:val="nil"/>
              <w:bottom w:val="single" w:sz="8" w:space="0" w:color="auto"/>
            </w:tcBorders>
            <w:shd w:val="clear" w:color="auto" w:fill="auto"/>
            <w:noWrap/>
            <w:vAlign w:val="center"/>
            <w:hideMark/>
          </w:tcPr>
          <w:p w14:paraId="68641DC2" w14:textId="77777777" w:rsidR="006D4537" w:rsidRPr="00052B74" w:rsidRDefault="006D4537" w:rsidP="006D4537">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Ley de Ingresos Recaudada</w:t>
            </w:r>
          </w:p>
        </w:tc>
        <w:tc>
          <w:tcPr>
            <w:tcW w:w="462" w:type="dxa"/>
            <w:gridSpan w:val="2"/>
            <w:tcBorders>
              <w:top w:val="nil"/>
              <w:bottom w:val="single" w:sz="8" w:space="0" w:color="auto"/>
            </w:tcBorders>
            <w:shd w:val="clear" w:color="auto" w:fill="auto"/>
            <w:vAlign w:val="center"/>
            <w:hideMark/>
          </w:tcPr>
          <w:p w14:paraId="63D684AD" w14:textId="77777777" w:rsidR="006D4537" w:rsidRPr="00052B74" w:rsidRDefault="006D4537" w:rsidP="006D4537">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 </w:t>
            </w:r>
          </w:p>
        </w:tc>
        <w:tc>
          <w:tcPr>
            <w:tcW w:w="1910" w:type="dxa"/>
            <w:tcBorders>
              <w:top w:val="nil"/>
              <w:bottom w:val="single" w:sz="8" w:space="0" w:color="auto"/>
            </w:tcBorders>
            <w:shd w:val="clear" w:color="auto" w:fill="auto"/>
            <w:vAlign w:val="bottom"/>
          </w:tcPr>
          <w:p w14:paraId="37ACBB96" w14:textId="463F39CF" w:rsidR="006D4537" w:rsidRPr="005732FC" w:rsidRDefault="00824448" w:rsidP="006D4537">
            <w:pPr>
              <w:spacing w:after="0" w:line="240" w:lineRule="auto"/>
              <w:jc w:val="right"/>
              <w:rPr>
                <w:rFonts w:ascii="Arial" w:hAnsi="Arial" w:cs="Arial"/>
                <w:sz w:val="20"/>
                <w:szCs w:val="20"/>
              </w:rPr>
            </w:pPr>
            <w:r w:rsidRPr="00052B74">
              <w:rPr>
                <w:rFonts w:ascii="Arial" w:hAnsi="Arial" w:cs="Arial"/>
                <w:color w:val="000000"/>
                <w:sz w:val="20"/>
                <w:szCs w:val="20"/>
              </w:rPr>
              <w:t>4,503,951,434.5</w:t>
            </w:r>
            <w:r w:rsidR="00F750CD" w:rsidRPr="00052B74">
              <w:rPr>
                <w:rFonts w:ascii="Arial" w:hAnsi="Arial" w:cs="Arial"/>
                <w:color w:val="000000"/>
                <w:sz w:val="20"/>
                <w:szCs w:val="20"/>
              </w:rPr>
              <w:t>3</w:t>
            </w:r>
          </w:p>
        </w:tc>
      </w:tr>
      <w:tr w:rsidR="0087733E" w:rsidRPr="005732FC" w14:paraId="675BFF61" w14:textId="77777777" w:rsidTr="002D735B">
        <w:trPr>
          <w:trHeight w:val="20"/>
        </w:trPr>
        <w:tc>
          <w:tcPr>
            <w:tcW w:w="1490" w:type="dxa"/>
            <w:tcBorders>
              <w:top w:val="nil"/>
              <w:left w:val="nil"/>
              <w:bottom w:val="nil"/>
              <w:right w:val="nil"/>
            </w:tcBorders>
            <w:shd w:val="clear" w:color="auto" w:fill="auto"/>
            <w:noWrap/>
            <w:vAlign w:val="center"/>
            <w:hideMark/>
          </w:tcPr>
          <w:p w14:paraId="76E407BF" w14:textId="77777777" w:rsidR="0087733E" w:rsidRPr="005732FC" w:rsidRDefault="0087733E" w:rsidP="005D2B3E">
            <w:pPr>
              <w:spacing w:after="0" w:line="240" w:lineRule="auto"/>
              <w:rPr>
                <w:rFonts w:ascii="Arial" w:eastAsia="Times New Roman" w:hAnsi="Arial" w:cs="Arial"/>
                <w:color w:val="000000"/>
                <w:kern w:val="0"/>
                <w:sz w:val="20"/>
                <w:szCs w:val="20"/>
                <w:lang w:eastAsia="es-MX"/>
                <w14:ligatures w14:val="none"/>
              </w:rPr>
            </w:pPr>
          </w:p>
        </w:tc>
        <w:tc>
          <w:tcPr>
            <w:tcW w:w="3178" w:type="dxa"/>
            <w:tcBorders>
              <w:top w:val="nil"/>
              <w:left w:val="nil"/>
              <w:bottom w:val="nil"/>
              <w:right w:val="nil"/>
            </w:tcBorders>
            <w:shd w:val="clear" w:color="auto" w:fill="auto"/>
            <w:noWrap/>
            <w:vAlign w:val="center"/>
            <w:hideMark/>
          </w:tcPr>
          <w:p w14:paraId="250A238C" w14:textId="77777777" w:rsidR="0087733E" w:rsidRPr="005732FC" w:rsidRDefault="0087733E" w:rsidP="005D2B3E">
            <w:pPr>
              <w:spacing w:after="0" w:line="240" w:lineRule="auto"/>
              <w:rPr>
                <w:rFonts w:ascii="Arial" w:eastAsia="Times New Roman" w:hAnsi="Arial" w:cs="Arial"/>
                <w:kern w:val="0"/>
                <w:sz w:val="20"/>
                <w:szCs w:val="20"/>
                <w:lang w:eastAsia="es-MX"/>
                <w14:ligatures w14:val="none"/>
              </w:rPr>
            </w:pPr>
          </w:p>
        </w:tc>
        <w:tc>
          <w:tcPr>
            <w:tcW w:w="462" w:type="dxa"/>
            <w:gridSpan w:val="2"/>
            <w:tcBorders>
              <w:top w:val="nil"/>
              <w:left w:val="nil"/>
              <w:bottom w:val="nil"/>
              <w:right w:val="nil"/>
            </w:tcBorders>
            <w:shd w:val="clear" w:color="auto" w:fill="auto"/>
            <w:noWrap/>
            <w:vAlign w:val="center"/>
            <w:hideMark/>
          </w:tcPr>
          <w:p w14:paraId="110280C3" w14:textId="77777777" w:rsidR="0087733E" w:rsidRPr="005732FC" w:rsidRDefault="0087733E" w:rsidP="005D2B3E">
            <w:pPr>
              <w:spacing w:after="0" w:line="240" w:lineRule="auto"/>
              <w:rPr>
                <w:rFonts w:ascii="Arial" w:eastAsia="Times New Roman" w:hAnsi="Arial" w:cs="Arial"/>
                <w:kern w:val="0"/>
                <w:sz w:val="20"/>
                <w:szCs w:val="20"/>
                <w:lang w:eastAsia="es-MX"/>
                <w14:ligatures w14:val="none"/>
              </w:rPr>
            </w:pPr>
          </w:p>
        </w:tc>
        <w:tc>
          <w:tcPr>
            <w:tcW w:w="1910" w:type="dxa"/>
            <w:tcBorders>
              <w:top w:val="nil"/>
              <w:left w:val="nil"/>
              <w:bottom w:val="nil"/>
              <w:right w:val="nil"/>
            </w:tcBorders>
            <w:shd w:val="clear" w:color="auto" w:fill="auto"/>
            <w:noWrap/>
            <w:vAlign w:val="bottom"/>
            <w:hideMark/>
          </w:tcPr>
          <w:p w14:paraId="28127695" w14:textId="77777777" w:rsidR="0087733E" w:rsidRPr="005732FC" w:rsidRDefault="0087733E" w:rsidP="005D2B3E">
            <w:pPr>
              <w:spacing w:after="0" w:line="240" w:lineRule="auto"/>
              <w:rPr>
                <w:rFonts w:ascii="Arial" w:eastAsia="Times New Roman" w:hAnsi="Arial" w:cs="Arial"/>
                <w:kern w:val="0"/>
                <w:sz w:val="20"/>
                <w:szCs w:val="20"/>
                <w:lang w:eastAsia="es-MX"/>
                <w14:ligatures w14:val="none"/>
              </w:rPr>
            </w:pPr>
          </w:p>
        </w:tc>
      </w:tr>
    </w:tbl>
    <w:p w14:paraId="0F2C32D6" w14:textId="77777777" w:rsidR="002D735B" w:rsidRPr="005732FC" w:rsidRDefault="002D735B" w:rsidP="005D2B3E"/>
    <w:tbl>
      <w:tblPr>
        <w:tblW w:w="7040" w:type="dxa"/>
        <w:tblCellMar>
          <w:left w:w="70" w:type="dxa"/>
          <w:right w:w="70" w:type="dxa"/>
        </w:tblCellMar>
        <w:tblLook w:val="04A0" w:firstRow="1" w:lastRow="0" w:firstColumn="1" w:lastColumn="0" w:noHBand="0" w:noVBand="1"/>
      </w:tblPr>
      <w:tblGrid>
        <w:gridCol w:w="4668"/>
        <w:gridCol w:w="294"/>
        <w:gridCol w:w="2078"/>
      </w:tblGrid>
      <w:tr w:rsidR="0087733E" w:rsidRPr="00052B74" w14:paraId="59C28CF6" w14:textId="77777777" w:rsidTr="0047242C">
        <w:trPr>
          <w:trHeight w:val="20"/>
          <w:tblHeader/>
        </w:trPr>
        <w:tc>
          <w:tcPr>
            <w:tcW w:w="7040" w:type="dxa"/>
            <w:gridSpan w:val="3"/>
            <w:tcBorders>
              <w:top w:val="single" w:sz="8" w:space="0" w:color="auto"/>
              <w:bottom w:val="single" w:sz="8" w:space="0" w:color="auto"/>
            </w:tcBorders>
            <w:shd w:val="clear" w:color="auto" w:fill="D9D9D9" w:themeFill="background1" w:themeFillShade="D9"/>
            <w:vAlign w:val="center"/>
            <w:hideMark/>
          </w:tcPr>
          <w:p w14:paraId="4F61107E" w14:textId="77777777" w:rsidR="0087733E" w:rsidRPr="00052B74" w:rsidRDefault="0087733E" w:rsidP="005D2B3E">
            <w:pPr>
              <w:spacing w:after="0" w:line="240" w:lineRule="auto"/>
              <w:jc w:val="center"/>
              <w:rPr>
                <w:rFonts w:ascii="Arial" w:eastAsia="Times New Roman" w:hAnsi="Arial" w:cs="Arial"/>
                <w:b/>
                <w:bCs/>
                <w:color w:val="000000"/>
                <w:kern w:val="0"/>
                <w:sz w:val="20"/>
                <w:szCs w:val="20"/>
                <w:lang w:eastAsia="es-MX"/>
                <w14:ligatures w14:val="none"/>
              </w:rPr>
            </w:pPr>
            <w:r w:rsidRPr="00052B74">
              <w:rPr>
                <w:rFonts w:ascii="Arial" w:eastAsia="Times New Roman" w:hAnsi="Arial" w:cs="Arial"/>
                <w:b/>
                <w:bCs/>
                <w:color w:val="000000"/>
                <w:kern w:val="0"/>
                <w:sz w:val="20"/>
                <w:szCs w:val="20"/>
                <w:lang w:eastAsia="es-MX"/>
                <w14:ligatures w14:val="none"/>
              </w:rPr>
              <w:t>Cuentas de Orden Presupuestarias de Egresos</w:t>
            </w:r>
          </w:p>
        </w:tc>
      </w:tr>
      <w:tr w:rsidR="002234C8" w:rsidRPr="00052B74" w14:paraId="3DD14151" w14:textId="77777777" w:rsidTr="0047242C">
        <w:trPr>
          <w:trHeight w:val="20"/>
          <w:tblHeader/>
        </w:trPr>
        <w:tc>
          <w:tcPr>
            <w:tcW w:w="4962" w:type="dxa"/>
            <w:gridSpan w:val="2"/>
            <w:tcBorders>
              <w:top w:val="single" w:sz="8" w:space="0" w:color="auto"/>
              <w:bottom w:val="single" w:sz="4" w:space="0" w:color="auto"/>
            </w:tcBorders>
            <w:shd w:val="clear" w:color="auto" w:fill="D9D9D9" w:themeFill="background1" w:themeFillShade="D9"/>
            <w:vAlign w:val="center"/>
            <w:hideMark/>
          </w:tcPr>
          <w:p w14:paraId="17A69562" w14:textId="77777777" w:rsidR="002234C8" w:rsidRPr="00052B74" w:rsidRDefault="002234C8" w:rsidP="002234C8">
            <w:pPr>
              <w:spacing w:after="0" w:line="240" w:lineRule="auto"/>
              <w:jc w:val="center"/>
              <w:rPr>
                <w:rFonts w:ascii="Arial" w:eastAsia="Times New Roman" w:hAnsi="Arial" w:cs="Arial"/>
                <w:b/>
                <w:bCs/>
                <w:color w:val="000000"/>
                <w:kern w:val="0"/>
                <w:sz w:val="20"/>
                <w:szCs w:val="20"/>
                <w:lang w:eastAsia="es-MX"/>
                <w14:ligatures w14:val="none"/>
              </w:rPr>
            </w:pPr>
            <w:r w:rsidRPr="00052B74">
              <w:rPr>
                <w:rFonts w:ascii="Arial" w:eastAsia="Times New Roman" w:hAnsi="Arial" w:cs="Arial"/>
                <w:b/>
                <w:bCs/>
                <w:color w:val="000000"/>
                <w:kern w:val="0"/>
                <w:sz w:val="20"/>
                <w:szCs w:val="20"/>
                <w:lang w:eastAsia="es-MX"/>
                <w14:ligatures w14:val="none"/>
              </w:rPr>
              <w:t>Concepto</w:t>
            </w:r>
          </w:p>
        </w:tc>
        <w:tc>
          <w:tcPr>
            <w:tcW w:w="2078" w:type="dxa"/>
            <w:tcBorders>
              <w:top w:val="nil"/>
              <w:bottom w:val="single" w:sz="4" w:space="0" w:color="auto"/>
            </w:tcBorders>
            <w:shd w:val="clear" w:color="auto" w:fill="D9D9D9" w:themeFill="background1" w:themeFillShade="D9"/>
            <w:vAlign w:val="center"/>
            <w:hideMark/>
          </w:tcPr>
          <w:p w14:paraId="6CBD862C" w14:textId="0A7E3BA4" w:rsidR="002234C8" w:rsidRPr="00052B74" w:rsidRDefault="00F45C8A" w:rsidP="002234C8">
            <w:pPr>
              <w:spacing w:after="0" w:line="240" w:lineRule="auto"/>
              <w:jc w:val="right"/>
              <w:rPr>
                <w:rFonts w:ascii="Arial" w:eastAsia="Times New Roman" w:hAnsi="Arial" w:cs="Arial"/>
                <w:b/>
                <w:bCs/>
                <w:color w:val="000000"/>
                <w:kern w:val="0"/>
                <w:sz w:val="20"/>
                <w:szCs w:val="20"/>
                <w:lang w:eastAsia="es-MX"/>
                <w14:ligatures w14:val="none"/>
              </w:rPr>
            </w:pPr>
            <w:r w:rsidRPr="00052B74">
              <w:rPr>
                <w:rFonts w:ascii="Arial" w:eastAsia="Times New Roman" w:hAnsi="Arial" w:cs="Arial"/>
                <w:b/>
                <w:bCs/>
                <w:color w:val="000000"/>
                <w:kern w:val="0"/>
                <w:sz w:val="20"/>
                <w:szCs w:val="20"/>
                <w:lang w:eastAsia="es-MX"/>
                <w14:ligatures w14:val="none"/>
              </w:rPr>
              <w:t>3</w:t>
            </w:r>
            <w:r w:rsidR="00A20367" w:rsidRPr="00052B74">
              <w:rPr>
                <w:rFonts w:ascii="Arial" w:eastAsia="Times New Roman" w:hAnsi="Arial" w:cs="Arial"/>
                <w:b/>
                <w:bCs/>
                <w:color w:val="000000"/>
                <w:kern w:val="0"/>
                <w:sz w:val="20"/>
                <w:szCs w:val="20"/>
                <w:lang w:eastAsia="es-MX"/>
                <w14:ligatures w14:val="none"/>
              </w:rPr>
              <w:t>0</w:t>
            </w:r>
            <w:r w:rsidRPr="00052B74">
              <w:rPr>
                <w:rFonts w:ascii="Arial" w:eastAsia="Times New Roman" w:hAnsi="Arial" w:cs="Arial"/>
                <w:b/>
                <w:bCs/>
                <w:color w:val="000000"/>
                <w:kern w:val="0"/>
                <w:sz w:val="20"/>
                <w:szCs w:val="20"/>
                <w:lang w:eastAsia="es-MX"/>
                <w14:ligatures w14:val="none"/>
              </w:rPr>
              <w:t xml:space="preserve"> de </w:t>
            </w:r>
            <w:r w:rsidR="00A20367" w:rsidRPr="00052B74">
              <w:rPr>
                <w:rFonts w:ascii="Arial" w:eastAsia="Times New Roman" w:hAnsi="Arial" w:cs="Arial"/>
                <w:b/>
                <w:bCs/>
                <w:color w:val="000000"/>
                <w:kern w:val="0"/>
                <w:sz w:val="20"/>
                <w:szCs w:val="20"/>
                <w:lang w:eastAsia="es-MX"/>
                <w14:ligatures w14:val="none"/>
              </w:rPr>
              <w:t>junio</w:t>
            </w:r>
            <w:r w:rsidRPr="00052B74">
              <w:rPr>
                <w:rFonts w:ascii="Arial" w:eastAsia="Times New Roman" w:hAnsi="Arial" w:cs="Arial"/>
                <w:b/>
                <w:bCs/>
                <w:color w:val="000000"/>
                <w:kern w:val="0"/>
                <w:sz w:val="20"/>
                <w:szCs w:val="20"/>
                <w:lang w:eastAsia="es-MX"/>
                <w14:ligatures w14:val="none"/>
              </w:rPr>
              <w:t xml:space="preserve"> </w:t>
            </w:r>
            <w:r w:rsidR="00FF1C97" w:rsidRPr="00052B74">
              <w:rPr>
                <w:rFonts w:ascii="Arial" w:eastAsia="Times New Roman" w:hAnsi="Arial" w:cs="Arial"/>
                <w:b/>
                <w:bCs/>
                <w:color w:val="000000"/>
                <w:kern w:val="0"/>
                <w:sz w:val="20"/>
                <w:szCs w:val="20"/>
                <w:lang w:eastAsia="es-MX"/>
                <w14:ligatures w14:val="none"/>
              </w:rPr>
              <w:t>2025</w:t>
            </w:r>
          </w:p>
        </w:tc>
      </w:tr>
      <w:tr w:rsidR="006D4537" w:rsidRPr="00052B74" w14:paraId="012DDD4F" w14:textId="77777777" w:rsidTr="00052B74">
        <w:trPr>
          <w:trHeight w:val="113"/>
        </w:trPr>
        <w:tc>
          <w:tcPr>
            <w:tcW w:w="4668" w:type="dxa"/>
            <w:tcBorders>
              <w:top w:val="single" w:sz="4" w:space="0" w:color="auto"/>
            </w:tcBorders>
            <w:shd w:val="clear" w:color="auto" w:fill="auto"/>
            <w:noWrap/>
            <w:vAlign w:val="center"/>
            <w:hideMark/>
          </w:tcPr>
          <w:p w14:paraId="1FC399AB" w14:textId="77777777" w:rsidR="006D4537" w:rsidRPr="00052B74" w:rsidRDefault="006D4537" w:rsidP="006D4537">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Presupuesto de Egresos Aprobado</w:t>
            </w:r>
          </w:p>
        </w:tc>
        <w:tc>
          <w:tcPr>
            <w:tcW w:w="294" w:type="dxa"/>
            <w:tcBorders>
              <w:top w:val="single" w:sz="4" w:space="0" w:color="auto"/>
            </w:tcBorders>
            <w:shd w:val="clear" w:color="auto" w:fill="auto"/>
            <w:vAlign w:val="center"/>
            <w:hideMark/>
          </w:tcPr>
          <w:p w14:paraId="2DEAF569" w14:textId="77777777" w:rsidR="006D4537" w:rsidRPr="00052B74" w:rsidRDefault="006D4537" w:rsidP="006D4537">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 </w:t>
            </w:r>
          </w:p>
        </w:tc>
        <w:tc>
          <w:tcPr>
            <w:tcW w:w="2078" w:type="dxa"/>
            <w:tcBorders>
              <w:top w:val="single" w:sz="4" w:space="0" w:color="auto"/>
            </w:tcBorders>
            <w:shd w:val="clear" w:color="auto" w:fill="auto"/>
            <w:vAlign w:val="bottom"/>
          </w:tcPr>
          <w:p w14:paraId="29D59124" w14:textId="24E81F06" w:rsidR="006D4537" w:rsidRPr="002707E3" w:rsidRDefault="00824448" w:rsidP="006D4537">
            <w:pPr>
              <w:spacing w:after="0" w:line="240" w:lineRule="auto"/>
              <w:jc w:val="right"/>
              <w:rPr>
                <w:rFonts w:ascii="Arial" w:eastAsia="Times New Roman" w:hAnsi="Arial" w:cs="Arial"/>
                <w:color w:val="000000"/>
                <w:kern w:val="0"/>
                <w:sz w:val="20"/>
                <w:szCs w:val="20"/>
                <w:lang w:eastAsia="es-MX"/>
                <w14:ligatures w14:val="none"/>
              </w:rPr>
            </w:pPr>
            <w:r w:rsidRPr="0047242C">
              <w:rPr>
                <w:rFonts w:ascii="Arial" w:eastAsia="Times New Roman" w:hAnsi="Arial" w:cs="Arial"/>
                <w:color w:val="000000"/>
                <w:kern w:val="0"/>
                <w:sz w:val="20"/>
                <w:szCs w:val="20"/>
                <w:lang w:eastAsia="es-MX"/>
                <w14:ligatures w14:val="none"/>
              </w:rPr>
              <w:t>3,931,478,606.00</w:t>
            </w:r>
          </w:p>
        </w:tc>
      </w:tr>
      <w:tr w:rsidR="006D4537" w:rsidRPr="00052B74" w14:paraId="00D135D1" w14:textId="77777777" w:rsidTr="0047242C">
        <w:trPr>
          <w:trHeight w:val="243"/>
        </w:trPr>
        <w:tc>
          <w:tcPr>
            <w:tcW w:w="4668" w:type="dxa"/>
            <w:tcBorders>
              <w:top w:val="nil"/>
            </w:tcBorders>
            <w:shd w:val="clear" w:color="auto" w:fill="auto"/>
            <w:noWrap/>
            <w:vAlign w:val="center"/>
            <w:hideMark/>
          </w:tcPr>
          <w:p w14:paraId="578FE143" w14:textId="77777777" w:rsidR="006D4537" w:rsidRPr="00052B74" w:rsidRDefault="006D4537" w:rsidP="006D4537">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Presupuesto de Egresos por Ejercer</w:t>
            </w:r>
          </w:p>
        </w:tc>
        <w:tc>
          <w:tcPr>
            <w:tcW w:w="294" w:type="dxa"/>
            <w:tcBorders>
              <w:top w:val="nil"/>
            </w:tcBorders>
            <w:shd w:val="clear" w:color="auto" w:fill="auto"/>
            <w:vAlign w:val="center"/>
            <w:hideMark/>
          </w:tcPr>
          <w:p w14:paraId="45C19EB5" w14:textId="77777777" w:rsidR="006D4537" w:rsidRPr="00052B74" w:rsidRDefault="006D4537" w:rsidP="006D4537">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 </w:t>
            </w:r>
          </w:p>
        </w:tc>
        <w:tc>
          <w:tcPr>
            <w:tcW w:w="2078" w:type="dxa"/>
            <w:tcBorders>
              <w:top w:val="nil"/>
            </w:tcBorders>
            <w:shd w:val="clear" w:color="auto" w:fill="auto"/>
            <w:vAlign w:val="center"/>
          </w:tcPr>
          <w:p w14:paraId="2FF2631E" w14:textId="515511FE" w:rsidR="006D4537" w:rsidRPr="0047242C" w:rsidRDefault="00F750CD" w:rsidP="0047242C">
            <w:pPr>
              <w:spacing w:after="0" w:line="240" w:lineRule="auto"/>
              <w:jc w:val="right"/>
              <w:rPr>
                <w:rFonts w:ascii="Arial" w:eastAsia="Times New Roman" w:hAnsi="Arial" w:cs="Arial"/>
                <w:color w:val="000000"/>
                <w:kern w:val="0"/>
                <w:sz w:val="20"/>
                <w:szCs w:val="20"/>
                <w:lang w:eastAsia="es-MX"/>
                <w14:ligatures w14:val="none"/>
              </w:rPr>
            </w:pPr>
            <w:r w:rsidRPr="0047242C">
              <w:rPr>
                <w:rFonts w:ascii="Arial" w:eastAsia="Times New Roman" w:hAnsi="Arial" w:cs="Arial"/>
                <w:color w:val="000000"/>
                <w:kern w:val="0"/>
                <w:sz w:val="20"/>
                <w:szCs w:val="20"/>
                <w:lang w:eastAsia="es-MX"/>
                <w14:ligatures w14:val="none"/>
              </w:rPr>
              <w:t>185,336,952.87</w:t>
            </w:r>
          </w:p>
        </w:tc>
      </w:tr>
      <w:tr w:rsidR="006D4537" w:rsidRPr="00052B74" w14:paraId="003217C1" w14:textId="77777777" w:rsidTr="00052B74">
        <w:trPr>
          <w:trHeight w:val="113"/>
        </w:trPr>
        <w:tc>
          <w:tcPr>
            <w:tcW w:w="4962" w:type="dxa"/>
            <w:gridSpan w:val="2"/>
            <w:tcBorders>
              <w:top w:val="nil"/>
            </w:tcBorders>
            <w:shd w:val="clear" w:color="auto" w:fill="auto"/>
            <w:noWrap/>
            <w:vAlign w:val="center"/>
            <w:hideMark/>
          </w:tcPr>
          <w:p w14:paraId="750A4413" w14:textId="77777777" w:rsidR="006D4537" w:rsidRPr="00052B74" w:rsidRDefault="006D4537" w:rsidP="006D4537">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Modificaciones al Presupuesto de Egresos Aprobado</w:t>
            </w:r>
          </w:p>
        </w:tc>
        <w:tc>
          <w:tcPr>
            <w:tcW w:w="2078" w:type="dxa"/>
            <w:tcBorders>
              <w:top w:val="nil"/>
            </w:tcBorders>
            <w:shd w:val="clear" w:color="auto" w:fill="auto"/>
            <w:vAlign w:val="center"/>
          </w:tcPr>
          <w:p w14:paraId="25E2931A" w14:textId="65575E82" w:rsidR="006D4537" w:rsidRPr="002707E3" w:rsidRDefault="00F750CD" w:rsidP="006D4537">
            <w:pPr>
              <w:spacing w:after="0" w:line="240" w:lineRule="auto"/>
              <w:jc w:val="right"/>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245,889,797.55</w:t>
            </w:r>
          </w:p>
        </w:tc>
      </w:tr>
      <w:tr w:rsidR="002234C8" w:rsidRPr="00052B74" w14:paraId="7F674A12" w14:textId="77777777" w:rsidTr="00052B74">
        <w:trPr>
          <w:trHeight w:val="113"/>
        </w:trPr>
        <w:tc>
          <w:tcPr>
            <w:tcW w:w="4962" w:type="dxa"/>
            <w:gridSpan w:val="2"/>
            <w:tcBorders>
              <w:top w:val="nil"/>
            </w:tcBorders>
            <w:shd w:val="clear" w:color="auto" w:fill="auto"/>
            <w:noWrap/>
            <w:vAlign w:val="center"/>
            <w:hideMark/>
          </w:tcPr>
          <w:p w14:paraId="1CC5E948" w14:textId="77777777" w:rsidR="002234C8" w:rsidRPr="00052B74" w:rsidRDefault="002234C8" w:rsidP="002234C8">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Presupuesto de Egresos Comprometido</w:t>
            </w:r>
          </w:p>
        </w:tc>
        <w:tc>
          <w:tcPr>
            <w:tcW w:w="2078" w:type="dxa"/>
            <w:tcBorders>
              <w:top w:val="nil"/>
            </w:tcBorders>
            <w:shd w:val="clear" w:color="auto" w:fill="auto"/>
            <w:vAlign w:val="center"/>
          </w:tcPr>
          <w:p w14:paraId="6F934267" w14:textId="568EE5B1" w:rsidR="002234C8" w:rsidRPr="002707E3" w:rsidRDefault="00F750CD" w:rsidP="006D4537">
            <w:pPr>
              <w:spacing w:after="0" w:line="240" w:lineRule="auto"/>
              <w:jc w:val="right"/>
              <w:rPr>
                <w:rFonts w:ascii="Arial" w:eastAsia="Times New Roman" w:hAnsi="Arial" w:cs="Arial"/>
                <w:color w:val="000000"/>
                <w:kern w:val="0"/>
                <w:sz w:val="20"/>
                <w:szCs w:val="20"/>
                <w:lang w:eastAsia="es-MX"/>
                <w14:ligatures w14:val="none"/>
              </w:rPr>
            </w:pPr>
            <w:r w:rsidRPr="002707E3">
              <w:rPr>
                <w:rFonts w:ascii="Arial" w:eastAsia="Times New Roman" w:hAnsi="Arial" w:cs="Arial"/>
                <w:color w:val="000000"/>
                <w:kern w:val="0"/>
                <w:sz w:val="20"/>
                <w:szCs w:val="20"/>
                <w:lang w:eastAsia="es-MX"/>
                <w14:ligatures w14:val="none"/>
              </w:rPr>
              <w:t>3,50</w:t>
            </w:r>
            <w:r w:rsidR="0011154E" w:rsidRPr="002707E3">
              <w:rPr>
                <w:rFonts w:ascii="Arial" w:eastAsia="Times New Roman" w:hAnsi="Arial" w:cs="Arial"/>
                <w:color w:val="000000"/>
                <w:kern w:val="0"/>
                <w:sz w:val="20"/>
                <w:szCs w:val="20"/>
                <w:lang w:eastAsia="es-MX"/>
                <w14:ligatures w14:val="none"/>
              </w:rPr>
              <w:t>0</w:t>
            </w:r>
            <w:r w:rsidRPr="002707E3">
              <w:rPr>
                <w:rFonts w:ascii="Arial" w:eastAsia="Times New Roman" w:hAnsi="Arial" w:cs="Arial"/>
                <w:color w:val="000000"/>
                <w:kern w:val="0"/>
                <w:sz w:val="20"/>
                <w:szCs w:val="20"/>
                <w:lang w:eastAsia="es-MX"/>
                <w14:ligatures w14:val="none"/>
              </w:rPr>
              <w:t>,</w:t>
            </w:r>
            <w:r w:rsidR="0011154E" w:rsidRPr="002707E3">
              <w:rPr>
                <w:rFonts w:ascii="Arial" w:eastAsia="Times New Roman" w:hAnsi="Arial" w:cs="Arial"/>
                <w:color w:val="000000"/>
                <w:kern w:val="0"/>
                <w:sz w:val="20"/>
                <w:szCs w:val="20"/>
                <w:lang w:eastAsia="es-MX"/>
                <w14:ligatures w14:val="none"/>
              </w:rPr>
              <w:t>251</w:t>
            </w:r>
            <w:r w:rsidRPr="002707E3">
              <w:rPr>
                <w:rFonts w:ascii="Arial" w:eastAsia="Times New Roman" w:hAnsi="Arial" w:cs="Arial"/>
                <w:color w:val="000000"/>
                <w:kern w:val="0"/>
                <w:sz w:val="20"/>
                <w:szCs w:val="20"/>
                <w:lang w:eastAsia="es-MX"/>
                <w14:ligatures w14:val="none"/>
              </w:rPr>
              <w:t>,</w:t>
            </w:r>
            <w:r w:rsidR="0011154E" w:rsidRPr="002707E3">
              <w:rPr>
                <w:rFonts w:ascii="Arial" w:eastAsia="Times New Roman" w:hAnsi="Arial" w:cs="Arial"/>
                <w:color w:val="000000"/>
                <w:kern w:val="0"/>
                <w:sz w:val="20"/>
                <w:szCs w:val="20"/>
                <w:lang w:eastAsia="es-MX"/>
                <w14:ligatures w14:val="none"/>
              </w:rPr>
              <w:t>855</w:t>
            </w:r>
            <w:r w:rsidRPr="002707E3">
              <w:rPr>
                <w:rFonts w:ascii="Arial" w:eastAsia="Times New Roman" w:hAnsi="Arial" w:cs="Arial"/>
                <w:color w:val="000000"/>
                <w:kern w:val="0"/>
                <w:sz w:val="20"/>
                <w:szCs w:val="20"/>
                <w:lang w:eastAsia="es-MX"/>
                <w14:ligatures w14:val="none"/>
              </w:rPr>
              <w:t>.5</w:t>
            </w:r>
            <w:r w:rsidR="0011154E" w:rsidRPr="002707E3">
              <w:rPr>
                <w:rFonts w:ascii="Arial" w:eastAsia="Times New Roman" w:hAnsi="Arial" w:cs="Arial"/>
                <w:color w:val="000000"/>
                <w:kern w:val="0"/>
                <w:sz w:val="20"/>
                <w:szCs w:val="20"/>
                <w:lang w:eastAsia="es-MX"/>
                <w14:ligatures w14:val="none"/>
              </w:rPr>
              <w:t>8</w:t>
            </w:r>
          </w:p>
        </w:tc>
      </w:tr>
      <w:tr w:rsidR="00C82904" w:rsidRPr="00052B74" w14:paraId="38FD5E75" w14:textId="77777777" w:rsidTr="00052B74">
        <w:trPr>
          <w:trHeight w:val="113"/>
        </w:trPr>
        <w:tc>
          <w:tcPr>
            <w:tcW w:w="4668" w:type="dxa"/>
            <w:tcBorders>
              <w:top w:val="nil"/>
            </w:tcBorders>
            <w:shd w:val="clear" w:color="auto" w:fill="auto"/>
            <w:noWrap/>
            <w:vAlign w:val="center"/>
            <w:hideMark/>
          </w:tcPr>
          <w:p w14:paraId="3891A108" w14:textId="77777777" w:rsidR="00C82904" w:rsidRPr="00052B74" w:rsidRDefault="00C82904" w:rsidP="00C82904">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Presupuesto de Egresos Devengado</w:t>
            </w:r>
          </w:p>
        </w:tc>
        <w:tc>
          <w:tcPr>
            <w:tcW w:w="294" w:type="dxa"/>
            <w:tcBorders>
              <w:top w:val="nil"/>
            </w:tcBorders>
            <w:shd w:val="clear" w:color="auto" w:fill="auto"/>
          </w:tcPr>
          <w:p w14:paraId="45DB7990" w14:textId="37CC9585" w:rsidR="00C82904" w:rsidRPr="00052B74" w:rsidRDefault="00C82904" w:rsidP="00C82904">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tcBorders>
            <w:shd w:val="clear" w:color="auto" w:fill="auto"/>
          </w:tcPr>
          <w:p w14:paraId="0FD351FF" w14:textId="45F1626E" w:rsidR="00C82904" w:rsidRPr="00052B74" w:rsidRDefault="00F750CD" w:rsidP="00C82904">
            <w:pPr>
              <w:spacing w:after="0" w:line="240" w:lineRule="auto"/>
              <w:jc w:val="right"/>
              <w:rPr>
                <w:rFonts w:ascii="Arial" w:hAnsi="Arial" w:cs="Arial"/>
                <w:sz w:val="20"/>
                <w:szCs w:val="20"/>
              </w:rPr>
            </w:pPr>
            <w:r w:rsidRPr="00052B74">
              <w:rPr>
                <w:rFonts w:ascii="Arial" w:hAnsi="Arial" w:cs="Arial"/>
                <w:sz w:val="20"/>
                <w:szCs w:val="20"/>
              </w:rPr>
              <w:t>3,228,910,075.81</w:t>
            </w:r>
          </w:p>
        </w:tc>
      </w:tr>
      <w:tr w:rsidR="00C82904" w:rsidRPr="00052B74" w14:paraId="48EA6A68" w14:textId="77777777" w:rsidTr="00052B74">
        <w:trPr>
          <w:trHeight w:val="113"/>
        </w:trPr>
        <w:tc>
          <w:tcPr>
            <w:tcW w:w="4668" w:type="dxa"/>
            <w:tcBorders>
              <w:top w:val="nil"/>
            </w:tcBorders>
            <w:shd w:val="clear" w:color="auto" w:fill="auto"/>
            <w:noWrap/>
            <w:vAlign w:val="center"/>
            <w:hideMark/>
          </w:tcPr>
          <w:p w14:paraId="6B1D7888" w14:textId="77777777" w:rsidR="00C82904" w:rsidRPr="00052B74" w:rsidRDefault="00C82904" w:rsidP="00C82904">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Presupuesto de Egresos Ejercido</w:t>
            </w:r>
          </w:p>
        </w:tc>
        <w:tc>
          <w:tcPr>
            <w:tcW w:w="294" w:type="dxa"/>
            <w:tcBorders>
              <w:top w:val="nil"/>
            </w:tcBorders>
            <w:shd w:val="clear" w:color="auto" w:fill="auto"/>
          </w:tcPr>
          <w:p w14:paraId="64A5E4ED" w14:textId="3E90EC4E" w:rsidR="00C82904" w:rsidRPr="00052B74" w:rsidRDefault="00C82904" w:rsidP="00C82904">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tcBorders>
            <w:shd w:val="clear" w:color="auto" w:fill="auto"/>
          </w:tcPr>
          <w:p w14:paraId="4B4C4B1D" w14:textId="1D4FF913" w:rsidR="00C82904" w:rsidRPr="00052B74" w:rsidRDefault="00F750CD" w:rsidP="00C82904">
            <w:pPr>
              <w:spacing w:after="0" w:line="240" w:lineRule="auto"/>
              <w:jc w:val="right"/>
              <w:rPr>
                <w:rFonts w:ascii="Arial" w:hAnsi="Arial" w:cs="Arial"/>
                <w:sz w:val="20"/>
                <w:szCs w:val="20"/>
              </w:rPr>
            </w:pPr>
            <w:r w:rsidRPr="00052B74">
              <w:rPr>
                <w:rFonts w:ascii="Arial" w:hAnsi="Arial" w:cs="Arial"/>
                <w:sz w:val="20"/>
                <w:szCs w:val="20"/>
              </w:rPr>
              <w:t>3,228,910,075.81</w:t>
            </w:r>
          </w:p>
        </w:tc>
      </w:tr>
      <w:tr w:rsidR="00C34988" w:rsidRPr="005732FC" w14:paraId="6EEA40C1" w14:textId="77777777" w:rsidTr="00052B74">
        <w:trPr>
          <w:trHeight w:val="113"/>
        </w:trPr>
        <w:tc>
          <w:tcPr>
            <w:tcW w:w="4668" w:type="dxa"/>
            <w:tcBorders>
              <w:top w:val="nil"/>
              <w:bottom w:val="single" w:sz="8" w:space="0" w:color="auto"/>
            </w:tcBorders>
            <w:shd w:val="clear" w:color="auto" w:fill="auto"/>
            <w:noWrap/>
            <w:vAlign w:val="center"/>
            <w:hideMark/>
          </w:tcPr>
          <w:p w14:paraId="6400ED93" w14:textId="77777777" w:rsidR="00C34988" w:rsidRPr="00052B74" w:rsidRDefault="00C34988" w:rsidP="00C34988">
            <w:pPr>
              <w:spacing w:after="0" w:line="240" w:lineRule="auto"/>
              <w:rPr>
                <w:rFonts w:ascii="Arial" w:eastAsia="Times New Roman" w:hAnsi="Arial" w:cs="Arial"/>
                <w:color w:val="000000"/>
                <w:kern w:val="0"/>
                <w:sz w:val="20"/>
                <w:szCs w:val="20"/>
                <w:lang w:eastAsia="es-MX"/>
                <w14:ligatures w14:val="none"/>
              </w:rPr>
            </w:pPr>
            <w:r w:rsidRPr="00052B74">
              <w:rPr>
                <w:rFonts w:ascii="Arial" w:eastAsia="Times New Roman" w:hAnsi="Arial" w:cs="Arial"/>
                <w:color w:val="000000"/>
                <w:kern w:val="0"/>
                <w:sz w:val="20"/>
                <w:szCs w:val="20"/>
                <w:lang w:eastAsia="es-MX"/>
                <w14:ligatures w14:val="none"/>
              </w:rPr>
              <w:t>Presupuesto de Egresos Pagado</w:t>
            </w:r>
          </w:p>
        </w:tc>
        <w:tc>
          <w:tcPr>
            <w:tcW w:w="294" w:type="dxa"/>
            <w:tcBorders>
              <w:top w:val="nil"/>
              <w:bottom w:val="single" w:sz="8" w:space="0" w:color="auto"/>
            </w:tcBorders>
            <w:shd w:val="clear" w:color="auto" w:fill="auto"/>
          </w:tcPr>
          <w:p w14:paraId="12A6F96C" w14:textId="58C62FC5" w:rsidR="00C34988" w:rsidRPr="00052B74" w:rsidRDefault="00C34988" w:rsidP="00C34988">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bottom w:val="single" w:sz="8" w:space="0" w:color="auto"/>
            </w:tcBorders>
            <w:shd w:val="clear" w:color="auto" w:fill="auto"/>
            <w:vAlign w:val="bottom"/>
          </w:tcPr>
          <w:p w14:paraId="2ABB4F9F" w14:textId="6EACE01A" w:rsidR="00C34988" w:rsidRPr="00052B74" w:rsidRDefault="00F750CD" w:rsidP="00C34988">
            <w:pPr>
              <w:spacing w:after="0" w:line="240" w:lineRule="auto"/>
              <w:jc w:val="right"/>
              <w:rPr>
                <w:rFonts w:ascii="Arial" w:hAnsi="Arial" w:cs="Arial"/>
                <w:sz w:val="20"/>
                <w:szCs w:val="20"/>
              </w:rPr>
            </w:pPr>
            <w:r w:rsidRPr="00052B74">
              <w:rPr>
                <w:rFonts w:ascii="Arial" w:hAnsi="Arial" w:cs="Arial"/>
                <w:sz w:val="20"/>
                <w:szCs w:val="20"/>
              </w:rPr>
              <w:t>2,811,772,539.30</w:t>
            </w:r>
          </w:p>
        </w:tc>
      </w:tr>
    </w:tbl>
    <w:p w14:paraId="7E38ACF0" w14:textId="4B80F104" w:rsidR="00BA3347" w:rsidRPr="005732FC" w:rsidRDefault="00BA3347" w:rsidP="005D2B3E">
      <w:pPr>
        <w:spacing w:after="0"/>
        <w:jc w:val="both"/>
        <w:rPr>
          <w:rFonts w:ascii="Arial" w:hAnsi="Arial" w:cs="Arial"/>
          <w:sz w:val="20"/>
          <w:szCs w:val="20"/>
        </w:rPr>
      </w:pPr>
      <w:r w:rsidRPr="005732FC">
        <w:rPr>
          <w:rFonts w:ascii="Arial" w:hAnsi="Arial" w:cs="Arial"/>
          <w:sz w:val="20"/>
          <w:szCs w:val="20"/>
        </w:rPr>
        <w:tab/>
      </w:r>
    </w:p>
    <w:p w14:paraId="00FA7CFE" w14:textId="23593CE9" w:rsidR="0087733E" w:rsidRPr="005732FC" w:rsidRDefault="0087733E" w:rsidP="005D2B3E">
      <w:pPr>
        <w:spacing w:after="0" w:line="240" w:lineRule="auto"/>
        <w:ind w:left="-142"/>
        <w:jc w:val="center"/>
        <w:rPr>
          <w:rFonts w:ascii="Arial" w:eastAsia="Times New Roman" w:hAnsi="Arial" w:cs="Arial"/>
          <w:sz w:val="20"/>
          <w:szCs w:val="20"/>
          <w:lang w:eastAsia="es-ES"/>
        </w:rPr>
      </w:pPr>
      <w:r w:rsidRPr="005732FC">
        <w:rPr>
          <w:rFonts w:ascii="Arial" w:eastAsia="Times New Roman" w:hAnsi="Arial" w:cs="Arial"/>
          <w:sz w:val="20"/>
          <w:szCs w:val="20"/>
          <w:lang w:eastAsia="es-ES"/>
        </w:rPr>
        <w:t>“Bajo protesta de decir verdad declaramos que los Estados Financieros y sus Notas, son razonablemente correctos y son responsabilidad del emisor”.</w:t>
      </w:r>
    </w:p>
    <w:p w14:paraId="56F85B8E" w14:textId="77777777" w:rsidR="00587BA3" w:rsidRPr="005732FC" w:rsidRDefault="00587BA3" w:rsidP="005D2B3E">
      <w:pPr>
        <w:spacing w:after="0" w:line="240" w:lineRule="auto"/>
        <w:ind w:left="-142"/>
        <w:jc w:val="center"/>
        <w:rPr>
          <w:rFonts w:ascii="Arial" w:eastAsia="Times New Roman" w:hAnsi="Arial" w:cs="Arial"/>
          <w:sz w:val="20"/>
          <w:szCs w:val="20"/>
          <w:lang w:eastAsia="es-ES"/>
        </w:rPr>
      </w:pPr>
    </w:p>
    <w:tbl>
      <w:tblPr>
        <w:tblW w:w="7374" w:type="dxa"/>
        <w:jc w:val="center"/>
        <w:tblCellMar>
          <w:left w:w="70" w:type="dxa"/>
          <w:right w:w="70" w:type="dxa"/>
        </w:tblCellMar>
        <w:tblLook w:val="04A0" w:firstRow="1" w:lastRow="0" w:firstColumn="1" w:lastColumn="0" w:noHBand="0" w:noVBand="1"/>
      </w:tblPr>
      <w:tblGrid>
        <w:gridCol w:w="3587"/>
        <w:gridCol w:w="200"/>
        <w:gridCol w:w="3587"/>
      </w:tblGrid>
      <w:tr w:rsidR="00F96E85" w:rsidRPr="005732FC" w14:paraId="48698BA3" w14:textId="77777777" w:rsidTr="00F96E85">
        <w:trPr>
          <w:trHeight w:val="289"/>
          <w:jc w:val="center"/>
        </w:trPr>
        <w:tc>
          <w:tcPr>
            <w:tcW w:w="3587" w:type="dxa"/>
            <w:vAlign w:val="center"/>
            <w:hideMark/>
          </w:tcPr>
          <w:p w14:paraId="6E8BFDD5" w14:textId="6DEBDEF5" w:rsidR="00F96E85" w:rsidRPr="005732FC" w:rsidRDefault="003F724F" w:rsidP="00F96E85">
            <w:pPr>
              <w:spacing w:after="0"/>
              <w:jc w:val="center"/>
              <w:rPr>
                <w:rFonts w:ascii="Arial" w:hAnsi="Arial" w:cs="Arial"/>
                <w:b/>
                <w:sz w:val="20"/>
                <w:szCs w:val="20"/>
              </w:rPr>
            </w:pPr>
            <w:r w:rsidRPr="005732FC">
              <w:rPr>
                <w:rFonts w:ascii="Arial" w:hAnsi="Arial" w:cs="Arial"/>
                <w:b/>
                <w:sz w:val="20"/>
                <w:szCs w:val="20"/>
              </w:rPr>
              <w:t>TESORERA</w:t>
            </w:r>
            <w:r w:rsidR="00F96E85" w:rsidRPr="005732FC">
              <w:rPr>
                <w:rFonts w:ascii="Arial" w:hAnsi="Arial" w:cs="Arial"/>
                <w:b/>
                <w:sz w:val="20"/>
                <w:szCs w:val="20"/>
              </w:rPr>
              <w:t xml:space="preserve"> MUNICIPAL</w:t>
            </w:r>
          </w:p>
        </w:tc>
        <w:tc>
          <w:tcPr>
            <w:tcW w:w="200" w:type="dxa"/>
            <w:noWrap/>
            <w:vAlign w:val="bottom"/>
            <w:hideMark/>
          </w:tcPr>
          <w:p w14:paraId="0B95B9D6" w14:textId="77777777" w:rsidR="00F96E85" w:rsidRPr="005732FC" w:rsidRDefault="00F96E85" w:rsidP="00F96E85">
            <w:pPr>
              <w:spacing w:after="0"/>
              <w:jc w:val="center"/>
              <w:rPr>
                <w:rFonts w:ascii="Arial" w:hAnsi="Arial" w:cs="Arial"/>
                <w:b/>
                <w:sz w:val="20"/>
                <w:szCs w:val="20"/>
              </w:rPr>
            </w:pPr>
          </w:p>
        </w:tc>
        <w:tc>
          <w:tcPr>
            <w:tcW w:w="3587" w:type="dxa"/>
            <w:vAlign w:val="center"/>
            <w:hideMark/>
          </w:tcPr>
          <w:p w14:paraId="0A06F820" w14:textId="38898747" w:rsidR="00F96E85" w:rsidRPr="005732FC" w:rsidRDefault="003F724F" w:rsidP="00F96E85">
            <w:pPr>
              <w:spacing w:after="0"/>
              <w:jc w:val="center"/>
              <w:rPr>
                <w:rFonts w:ascii="Arial" w:hAnsi="Arial" w:cs="Arial"/>
                <w:b/>
                <w:sz w:val="20"/>
                <w:szCs w:val="20"/>
              </w:rPr>
            </w:pPr>
            <w:r w:rsidRPr="005732FC">
              <w:rPr>
                <w:rFonts w:ascii="Arial" w:hAnsi="Arial" w:cs="Arial"/>
                <w:b/>
                <w:sz w:val="20"/>
                <w:szCs w:val="20"/>
              </w:rPr>
              <w:t>DIRECTOR</w:t>
            </w:r>
            <w:r w:rsidR="00F96E85" w:rsidRPr="005732FC">
              <w:rPr>
                <w:rFonts w:ascii="Arial" w:hAnsi="Arial" w:cs="Arial"/>
                <w:b/>
                <w:sz w:val="20"/>
                <w:szCs w:val="20"/>
              </w:rPr>
              <w:t xml:space="preserve"> DE CONTABILIDAD</w:t>
            </w:r>
          </w:p>
        </w:tc>
      </w:tr>
      <w:tr w:rsidR="00F96E85" w:rsidRPr="005732FC" w14:paraId="2473698C" w14:textId="77777777" w:rsidTr="00F96E85">
        <w:trPr>
          <w:trHeight w:val="263"/>
          <w:jc w:val="center"/>
        </w:trPr>
        <w:tc>
          <w:tcPr>
            <w:tcW w:w="3587" w:type="dxa"/>
            <w:vAlign w:val="center"/>
          </w:tcPr>
          <w:p w14:paraId="7AAEF892" w14:textId="77777777" w:rsidR="00F96E85" w:rsidRPr="005732FC" w:rsidRDefault="00F96E85" w:rsidP="00F96E85">
            <w:pPr>
              <w:spacing w:after="0"/>
              <w:jc w:val="center"/>
              <w:rPr>
                <w:rFonts w:ascii="Arial" w:hAnsi="Arial" w:cs="Arial"/>
                <w:b/>
                <w:sz w:val="20"/>
                <w:szCs w:val="20"/>
              </w:rPr>
            </w:pPr>
          </w:p>
          <w:p w14:paraId="141EC5E8" w14:textId="77777777" w:rsidR="00C80BB6" w:rsidRPr="005732FC" w:rsidRDefault="00C80BB6" w:rsidP="00F96E85">
            <w:pPr>
              <w:spacing w:after="0"/>
              <w:jc w:val="center"/>
              <w:rPr>
                <w:rFonts w:ascii="Arial" w:hAnsi="Arial" w:cs="Arial"/>
                <w:b/>
                <w:sz w:val="20"/>
                <w:szCs w:val="20"/>
              </w:rPr>
            </w:pPr>
          </w:p>
        </w:tc>
        <w:tc>
          <w:tcPr>
            <w:tcW w:w="200" w:type="dxa"/>
            <w:noWrap/>
            <w:vAlign w:val="bottom"/>
            <w:hideMark/>
          </w:tcPr>
          <w:p w14:paraId="7B9B1903" w14:textId="77777777" w:rsidR="00F96E85" w:rsidRPr="005732FC" w:rsidRDefault="00F96E85" w:rsidP="00F96E85">
            <w:pPr>
              <w:spacing w:after="0"/>
              <w:jc w:val="center"/>
              <w:rPr>
                <w:rFonts w:ascii="Arial" w:hAnsi="Arial" w:cs="Arial"/>
                <w:b/>
                <w:sz w:val="20"/>
                <w:szCs w:val="20"/>
              </w:rPr>
            </w:pPr>
          </w:p>
        </w:tc>
        <w:tc>
          <w:tcPr>
            <w:tcW w:w="3587" w:type="dxa"/>
            <w:vMerge w:val="restart"/>
            <w:vAlign w:val="center"/>
            <w:hideMark/>
          </w:tcPr>
          <w:p w14:paraId="081B9017" w14:textId="77777777" w:rsidR="00F96E85" w:rsidRPr="005732FC" w:rsidRDefault="00F96E85" w:rsidP="00F96E85">
            <w:pPr>
              <w:spacing w:after="0"/>
              <w:jc w:val="center"/>
              <w:rPr>
                <w:rFonts w:ascii="Arial" w:hAnsi="Arial" w:cs="Arial"/>
                <w:sz w:val="20"/>
                <w:szCs w:val="20"/>
              </w:rPr>
            </w:pPr>
          </w:p>
        </w:tc>
      </w:tr>
      <w:tr w:rsidR="00F96E85" w:rsidRPr="005732FC" w14:paraId="35191BF3" w14:textId="77777777" w:rsidTr="00F425F8">
        <w:trPr>
          <w:trHeight w:val="70"/>
          <w:jc w:val="center"/>
        </w:trPr>
        <w:tc>
          <w:tcPr>
            <w:tcW w:w="3587" w:type="dxa"/>
            <w:vAlign w:val="center"/>
            <w:hideMark/>
          </w:tcPr>
          <w:p w14:paraId="7AA4D342" w14:textId="77777777" w:rsidR="00F96E85" w:rsidRPr="005732FC" w:rsidRDefault="00F96E85" w:rsidP="00F96E85">
            <w:pPr>
              <w:spacing w:after="0"/>
              <w:jc w:val="center"/>
              <w:rPr>
                <w:rFonts w:ascii="Arial" w:hAnsi="Arial" w:cs="Arial"/>
                <w:sz w:val="20"/>
                <w:szCs w:val="20"/>
              </w:rPr>
            </w:pPr>
          </w:p>
        </w:tc>
        <w:tc>
          <w:tcPr>
            <w:tcW w:w="200" w:type="dxa"/>
            <w:noWrap/>
            <w:vAlign w:val="bottom"/>
            <w:hideMark/>
          </w:tcPr>
          <w:p w14:paraId="20497C0C" w14:textId="77777777" w:rsidR="00F96E85" w:rsidRPr="005732FC" w:rsidRDefault="00F96E85" w:rsidP="00F96E85">
            <w:pPr>
              <w:spacing w:after="0"/>
              <w:jc w:val="center"/>
              <w:rPr>
                <w:rFonts w:ascii="Arial" w:hAnsi="Arial" w:cs="Arial"/>
                <w:sz w:val="20"/>
                <w:szCs w:val="20"/>
              </w:rPr>
            </w:pPr>
          </w:p>
        </w:tc>
        <w:tc>
          <w:tcPr>
            <w:tcW w:w="0" w:type="auto"/>
            <w:vMerge/>
            <w:vAlign w:val="center"/>
            <w:hideMark/>
          </w:tcPr>
          <w:p w14:paraId="3E288F95" w14:textId="77777777" w:rsidR="00F96E85" w:rsidRPr="005732FC" w:rsidRDefault="00F96E85" w:rsidP="00F96E85">
            <w:pPr>
              <w:spacing w:after="0"/>
              <w:jc w:val="center"/>
              <w:rPr>
                <w:rFonts w:ascii="Arial" w:hAnsi="Arial" w:cs="Arial"/>
                <w:sz w:val="20"/>
                <w:szCs w:val="20"/>
              </w:rPr>
            </w:pPr>
          </w:p>
        </w:tc>
      </w:tr>
      <w:tr w:rsidR="00F96E85" w:rsidRPr="005732FC" w14:paraId="3503A372" w14:textId="77777777" w:rsidTr="00F96E85">
        <w:trPr>
          <w:trHeight w:val="263"/>
          <w:jc w:val="center"/>
        </w:trPr>
        <w:tc>
          <w:tcPr>
            <w:tcW w:w="3587" w:type="dxa"/>
            <w:tcBorders>
              <w:top w:val="single" w:sz="4" w:space="0" w:color="auto"/>
              <w:left w:val="nil"/>
              <w:bottom w:val="nil"/>
              <w:right w:val="nil"/>
            </w:tcBorders>
            <w:vAlign w:val="center"/>
            <w:hideMark/>
          </w:tcPr>
          <w:p w14:paraId="1F52046F" w14:textId="53374EB3" w:rsidR="00F96E85" w:rsidRPr="005732FC" w:rsidRDefault="003F724F" w:rsidP="00F96E85">
            <w:pPr>
              <w:spacing w:after="0"/>
              <w:jc w:val="center"/>
              <w:rPr>
                <w:rFonts w:ascii="Arial" w:hAnsi="Arial" w:cs="Arial"/>
                <w:b/>
                <w:sz w:val="20"/>
                <w:szCs w:val="20"/>
              </w:rPr>
            </w:pPr>
            <w:r w:rsidRPr="005732FC">
              <w:rPr>
                <w:rFonts w:ascii="Arial" w:hAnsi="Arial" w:cs="Arial"/>
                <w:b/>
                <w:bCs/>
                <w:sz w:val="20"/>
                <w:szCs w:val="20"/>
              </w:rPr>
              <w:t>L.C. ELSY MARBELLA KU PECH</w:t>
            </w:r>
          </w:p>
        </w:tc>
        <w:tc>
          <w:tcPr>
            <w:tcW w:w="200" w:type="dxa"/>
            <w:noWrap/>
            <w:vAlign w:val="bottom"/>
            <w:hideMark/>
          </w:tcPr>
          <w:p w14:paraId="2880D0EB" w14:textId="77777777" w:rsidR="00F96E85" w:rsidRPr="005732FC" w:rsidRDefault="00F96E85" w:rsidP="00F96E85">
            <w:pPr>
              <w:spacing w:after="0"/>
              <w:jc w:val="center"/>
              <w:rPr>
                <w:rFonts w:ascii="Arial" w:hAnsi="Arial" w:cs="Arial"/>
                <w:b/>
                <w:sz w:val="20"/>
                <w:szCs w:val="20"/>
              </w:rPr>
            </w:pPr>
          </w:p>
        </w:tc>
        <w:tc>
          <w:tcPr>
            <w:tcW w:w="3587" w:type="dxa"/>
            <w:tcBorders>
              <w:top w:val="single" w:sz="4" w:space="0" w:color="auto"/>
              <w:left w:val="nil"/>
              <w:bottom w:val="nil"/>
              <w:right w:val="nil"/>
            </w:tcBorders>
            <w:vAlign w:val="center"/>
            <w:hideMark/>
          </w:tcPr>
          <w:p w14:paraId="70DBA2DB" w14:textId="77777777" w:rsidR="00F96E85" w:rsidRPr="005732FC" w:rsidRDefault="00F96E85" w:rsidP="00F96E85">
            <w:pPr>
              <w:spacing w:after="0"/>
              <w:jc w:val="center"/>
              <w:rPr>
                <w:rFonts w:ascii="Arial" w:hAnsi="Arial" w:cs="Arial"/>
                <w:b/>
                <w:sz w:val="20"/>
                <w:szCs w:val="20"/>
              </w:rPr>
            </w:pPr>
            <w:r w:rsidRPr="005732FC">
              <w:rPr>
                <w:rFonts w:ascii="Arial" w:hAnsi="Arial" w:cs="Arial"/>
                <w:b/>
                <w:sz w:val="20"/>
                <w:szCs w:val="20"/>
              </w:rPr>
              <w:t>L.C JESÚS ANTONIO POOT TAMAY</w:t>
            </w:r>
          </w:p>
        </w:tc>
      </w:tr>
    </w:tbl>
    <w:p w14:paraId="67A217DD" w14:textId="77777777" w:rsidR="00F96E85" w:rsidRPr="005732FC" w:rsidRDefault="00F96E85" w:rsidP="00F96E85">
      <w:pPr>
        <w:spacing w:after="0"/>
        <w:jc w:val="center"/>
        <w:rPr>
          <w:rFonts w:ascii="Arial" w:hAnsi="Arial" w:cs="Arial"/>
          <w:b/>
          <w:sz w:val="20"/>
          <w:szCs w:val="20"/>
        </w:rPr>
      </w:pPr>
    </w:p>
    <w:tbl>
      <w:tblPr>
        <w:tblW w:w="4997" w:type="pct"/>
        <w:tblCellMar>
          <w:left w:w="70" w:type="dxa"/>
          <w:right w:w="70" w:type="dxa"/>
        </w:tblCellMar>
        <w:tblLook w:val="04A0" w:firstRow="1" w:lastRow="0" w:firstColumn="1" w:lastColumn="0" w:noHBand="0" w:noVBand="1"/>
      </w:tblPr>
      <w:tblGrid>
        <w:gridCol w:w="3482"/>
        <w:gridCol w:w="175"/>
        <w:gridCol w:w="3482"/>
        <w:gridCol w:w="175"/>
        <w:gridCol w:w="3480"/>
      </w:tblGrid>
      <w:tr w:rsidR="00F96E85" w:rsidRPr="005732FC" w14:paraId="6A930098" w14:textId="77777777" w:rsidTr="00F96E85">
        <w:trPr>
          <w:trHeight w:val="303"/>
        </w:trPr>
        <w:tc>
          <w:tcPr>
            <w:tcW w:w="1613" w:type="pct"/>
            <w:vAlign w:val="center"/>
          </w:tcPr>
          <w:p w14:paraId="507A761D" w14:textId="77777777" w:rsidR="00F96E85" w:rsidRPr="005732FC" w:rsidRDefault="00F96E85" w:rsidP="00F96E85">
            <w:pPr>
              <w:spacing w:after="0"/>
              <w:jc w:val="center"/>
              <w:rPr>
                <w:rFonts w:ascii="Arial" w:hAnsi="Arial" w:cs="Arial"/>
                <w:b/>
                <w:sz w:val="20"/>
                <w:szCs w:val="20"/>
              </w:rPr>
            </w:pPr>
          </w:p>
          <w:p w14:paraId="24919BF1" w14:textId="2EFB26E7" w:rsidR="00F96E85" w:rsidRPr="005732FC" w:rsidRDefault="003F724F" w:rsidP="00F96E85">
            <w:pPr>
              <w:spacing w:after="0"/>
              <w:jc w:val="center"/>
              <w:rPr>
                <w:rFonts w:ascii="Arial" w:hAnsi="Arial" w:cs="Arial"/>
                <w:b/>
                <w:sz w:val="20"/>
                <w:szCs w:val="20"/>
              </w:rPr>
            </w:pPr>
            <w:r w:rsidRPr="005732FC">
              <w:rPr>
                <w:rFonts w:ascii="Arial" w:hAnsi="Arial" w:cs="Arial"/>
                <w:b/>
                <w:sz w:val="20"/>
                <w:szCs w:val="20"/>
              </w:rPr>
              <w:t>DIRECTORA</w:t>
            </w:r>
            <w:r w:rsidR="00F96E85" w:rsidRPr="005732FC">
              <w:rPr>
                <w:rFonts w:ascii="Arial" w:hAnsi="Arial" w:cs="Arial"/>
                <w:b/>
                <w:sz w:val="20"/>
                <w:szCs w:val="20"/>
              </w:rPr>
              <w:t xml:space="preserve"> FINANCIERA</w:t>
            </w:r>
          </w:p>
        </w:tc>
        <w:tc>
          <w:tcPr>
            <w:tcW w:w="81" w:type="pct"/>
            <w:vAlign w:val="center"/>
            <w:hideMark/>
          </w:tcPr>
          <w:p w14:paraId="011829EC" w14:textId="77777777" w:rsidR="00F96E85" w:rsidRPr="005732FC" w:rsidRDefault="00F96E85" w:rsidP="00F96E85">
            <w:pPr>
              <w:spacing w:after="0"/>
              <w:jc w:val="center"/>
              <w:rPr>
                <w:rFonts w:ascii="Arial" w:hAnsi="Arial" w:cs="Arial"/>
                <w:b/>
                <w:sz w:val="20"/>
                <w:szCs w:val="20"/>
              </w:rPr>
            </w:pPr>
          </w:p>
        </w:tc>
        <w:tc>
          <w:tcPr>
            <w:tcW w:w="1613" w:type="pct"/>
            <w:vAlign w:val="center"/>
          </w:tcPr>
          <w:p w14:paraId="65F276F0" w14:textId="77777777" w:rsidR="00F96E85" w:rsidRPr="005732FC" w:rsidRDefault="00F96E85" w:rsidP="00F96E85">
            <w:pPr>
              <w:spacing w:after="0"/>
              <w:jc w:val="center"/>
              <w:rPr>
                <w:rFonts w:ascii="Arial" w:hAnsi="Arial" w:cs="Arial"/>
                <w:b/>
                <w:sz w:val="20"/>
                <w:szCs w:val="20"/>
              </w:rPr>
            </w:pPr>
          </w:p>
          <w:p w14:paraId="21C9BA01" w14:textId="72427363" w:rsidR="00F96E85" w:rsidRPr="005732FC" w:rsidRDefault="003F724F" w:rsidP="00F96E85">
            <w:pPr>
              <w:spacing w:after="0"/>
              <w:jc w:val="center"/>
              <w:rPr>
                <w:rFonts w:ascii="Arial" w:hAnsi="Arial" w:cs="Arial"/>
                <w:b/>
                <w:sz w:val="20"/>
                <w:szCs w:val="20"/>
              </w:rPr>
            </w:pPr>
            <w:r w:rsidRPr="005732FC">
              <w:rPr>
                <w:rFonts w:ascii="Arial" w:hAnsi="Arial" w:cs="Arial"/>
                <w:b/>
                <w:sz w:val="20"/>
                <w:szCs w:val="20"/>
              </w:rPr>
              <w:t>DIRECTORA</w:t>
            </w:r>
            <w:r w:rsidR="00F96E85" w:rsidRPr="005732FC">
              <w:rPr>
                <w:rFonts w:ascii="Arial" w:hAnsi="Arial" w:cs="Arial"/>
                <w:b/>
                <w:sz w:val="20"/>
                <w:szCs w:val="20"/>
              </w:rPr>
              <w:t xml:space="preserve"> DE EGRESOS</w:t>
            </w:r>
          </w:p>
        </w:tc>
        <w:tc>
          <w:tcPr>
            <w:tcW w:w="81" w:type="pct"/>
            <w:vAlign w:val="center"/>
            <w:hideMark/>
          </w:tcPr>
          <w:p w14:paraId="52F18E3B" w14:textId="77777777" w:rsidR="00F96E85" w:rsidRPr="005732FC" w:rsidRDefault="00F96E85" w:rsidP="00F96E85">
            <w:pPr>
              <w:spacing w:after="0"/>
              <w:jc w:val="center"/>
              <w:rPr>
                <w:rFonts w:ascii="Arial" w:hAnsi="Arial" w:cs="Arial"/>
                <w:b/>
                <w:sz w:val="20"/>
                <w:szCs w:val="20"/>
              </w:rPr>
            </w:pPr>
          </w:p>
        </w:tc>
        <w:tc>
          <w:tcPr>
            <w:tcW w:w="1612" w:type="pct"/>
            <w:vAlign w:val="center"/>
          </w:tcPr>
          <w:p w14:paraId="17EA4D6B" w14:textId="77777777" w:rsidR="00F96E85" w:rsidRPr="005732FC" w:rsidRDefault="00F96E85" w:rsidP="00F96E85">
            <w:pPr>
              <w:spacing w:after="0"/>
              <w:jc w:val="center"/>
              <w:rPr>
                <w:rFonts w:ascii="Arial" w:hAnsi="Arial" w:cs="Arial"/>
                <w:b/>
                <w:sz w:val="20"/>
                <w:szCs w:val="20"/>
              </w:rPr>
            </w:pPr>
          </w:p>
          <w:p w14:paraId="712D1BDE" w14:textId="6937038C" w:rsidR="00F96E85" w:rsidRPr="005732FC" w:rsidRDefault="003F724F" w:rsidP="00F96E85">
            <w:pPr>
              <w:spacing w:after="0"/>
              <w:jc w:val="center"/>
              <w:rPr>
                <w:rFonts w:ascii="Arial" w:hAnsi="Arial" w:cs="Arial"/>
                <w:b/>
                <w:sz w:val="20"/>
                <w:szCs w:val="20"/>
              </w:rPr>
            </w:pPr>
            <w:r w:rsidRPr="005732FC">
              <w:rPr>
                <w:rFonts w:ascii="Arial" w:hAnsi="Arial" w:cs="Arial"/>
                <w:b/>
                <w:sz w:val="20"/>
                <w:szCs w:val="20"/>
              </w:rPr>
              <w:t>DIRECTORA</w:t>
            </w:r>
            <w:r w:rsidR="00F96E85" w:rsidRPr="005732FC">
              <w:rPr>
                <w:rFonts w:ascii="Arial" w:hAnsi="Arial" w:cs="Arial"/>
                <w:b/>
                <w:sz w:val="20"/>
                <w:szCs w:val="20"/>
              </w:rPr>
              <w:t xml:space="preserve"> DE INGRESOS</w:t>
            </w:r>
          </w:p>
        </w:tc>
      </w:tr>
      <w:tr w:rsidR="00F96E85" w:rsidRPr="005732FC" w14:paraId="0BD4006B" w14:textId="77777777" w:rsidTr="00F96E85">
        <w:trPr>
          <w:trHeight w:val="275"/>
        </w:trPr>
        <w:tc>
          <w:tcPr>
            <w:tcW w:w="1613" w:type="pct"/>
            <w:vAlign w:val="center"/>
            <w:hideMark/>
          </w:tcPr>
          <w:p w14:paraId="2E809BC0" w14:textId="77777777" w:rsidR="00F96E85" w:rsidRPr="005732FC" w:rsidRDefault="00F96E85" w:rsidP="00F96E85">
            <w:pPr>
              <w:spacing w:after="0"/>
              <w:jc w:val="center"/>
              <w:rPr>
                <w:rFonts w:ascii="Arial" w:hAnsi="Arial" w:cs="Arial"/>
                <w:b/>
                <w:sz w:val="20"/>
                <w:szCs w:val="20"/>
              </w:rPr>
            </w:pPr>
          </w:p>
          <w:p w14:paraId="248AA541" w14:textId="77777777" w:rsidR="00C80BB6" w:rsidRPr="005732FC" w:rsidRDefault="00C80BB6" w:rsidP="00F96E85">
            <w:pPr>
              <w:spacing w:after="0"/>
              <w:jc w:val="center"/>
              <w:rPr>
                <w:rFonts w:ascii="Arial" w:hAnsi="Arial" w:cs="Arial"/>
                <w:b/>
                <w:sz w:val="20"/>
                <w:szCs w:val="20"/>
              </w:rPr>
            </w:pPr>
          </w:p>
        </w:tc>
        <w:tc>
          <w:tcPr>
            <w:tcW w:w="81" w:type="pct"/>
            <w:vAlign w:val="center"/>
            <w:hideMark/>
          </w:tcPr>
          <w:p w14:paraId="75F286E0" w14:textId="77777777" w:rsidR="00F96E85" w:rsidRPr="005732FC" w:rsidRDefault="00F96E85" w:rsidP="00F96E85">
            <w:pPr>
              <w:spacing w:after="0"/>
              <w:jc w:val="center"/>
              <w:rPr>
                <w:rFonts w:ascii="Arial" w:hAnsi="Arial" w:cs="Arial"/>
                <w:sz w:val="20"/>
                <w:szCs w:val="20"/>
              </w:rPr>
            </w:pPr>
          </w:p>
        </w:tc>
        <w:tc>
          <w:tcPr>
            <w:tcW w:w="1613" w:type="pct"/>
            <w:vAlign w:val="center"/>
            <w:hideMark/>
          </w:tcPr>
          <w:p w14:paraId="742D3E87" w14:textId="77777777" w:rsidR="00F96E85" w:rsidRPr="005732FC" w:rsidRDefault="00F96E85" w:rsidP="00F96E85">
            <w:pPr>
              <w:spacing w:after="0"/>
              <w:jc w:val="center"/>
              <w:rPr>
                <w:rFonts w:ascii="Arial" w:hAnsi="Arial" w:cs="Arial"/>
                <w:sz w:val="20"/>
                <w:szCs w:val="20"/>
              </w:rPr>
            </w:pPr>
          </w:p>
        </w:tc>
        <w:tc>
          <w:tcPr>
            <w:tcW w:w="81" w:type="pct"/>
            <w:vAlign w:val="center"/>
            <w:hideMark/>
          </w:tcPr>
          <w:p w14:paraId="06C4A454" w14:textId="77777777" w:rsidR="00F96E85" w:rsidRPr="005732FC" w:rsidRDefault="00F96E85" w:rsidP="00F96E85">
            <w:pPr>
              <w:spacing w:after="0"/>
              <w:jc w:val="center"/>
              <w:rPr>
                <w:rFonts w:ascii="Arial" w:hAnsi="Arial" w:cs="Arial"/>
                <w:sz w:val="20"/>
                <w:szCs w:val="20"/>
              </w:rPr>
            </w:pPr>
          </w:p>
        </w:tc>
        <w:tc>
          <w:tcPr>
            <w:tcW w:w="1612" w:type="pct"/>
            <w:vAlign w:val="center"/>
            <w:hideMark/>
          </w:tcPr>
          <w:p w14:paraId="40E0D18E" w14:textId="77777777" w:rsidR="00F96E85" w:rsidRPr="005732FC" w:rsidRDefault="00F96E85" w:rsidP="00F96E85">
            <w:pPr>
              <w:spacing w:after="0"/>
              <w:jc w:val="center"/>
              <w:rPr>
                <w:rFonts w:ascii="Arial" w:hAnsi="Arial" w:cs="Arial"/>
                <w:sz w:val="20"/>
                <w:szCs w:val="20"/>
              </w:rPr>
            </w:pPr>
          </w:p>
        </w:tc>
      </w:tr>
      <w:tr w:rsidR="00F96E85" w:rsidRPr="005732FC" w14:paraId="11B9A416" w14:textId="77777777" w:rsidTr="00F425F8">
        <w:trPr>
          <w:trHeight w:val="70"/>
        </w:trPr>
        <w:tc>
          <w:tcPr>
            <w:tcW w:w="1613" w:type="pct"/>
            <w:noWrap/>
            <w:vAlign w:val="bottom"/>
          </w:tcPr>
          <w:p w14:paraId="5F20B574" w14:textId="77777777" w:rsidR="00F96E85" w:rsidRPr="005732FC" w:rsidRDefault="00F96E85" w:rsidP="00F96E85">
            <w:pPr>
              <w:spacing w:after="0"/>
              <w:jc w:val="center"/>
              <w:rPr>
                <w:rFonts w:ascii="Arial" w:hAnsi="Arial" w:cs="Arial"/>
                <w:b/>
                <w:sz w:val="20"/>
                <w:szCs w:val="20"/>
              </w:rPr>
            </w:pPr>
          </w:p>
        </w:tc>
        <w:tc>
          <w:tcPr>
            <w:tcW w:w="81" w:type="pct"/>
            <w:noWrap/>
            <w:vAlign w:val="bottom"/>
            <w:hideMark/>
          </w:tcPr>
          <w:p w14:paraId="04DDFFE8" w14:textId="77777777" w:rsidR="00F96E85" w:rsidRPr="005732FC" w:rsidRDefault="00F96E85" w:rsidP="00F96E85">
            <w:pPr>
              <w:spacing w:after="0"/>
              <w:jc w:val="center"/>
              <w:rPr>
                <w:rFonts w:ascii="Arial" w:hAnsi="Arial" w:cs="Arial"/>
                <w:b/>
                <w:sz w:val="20"/>
                <w:szCs w:val="20"/>
              </w:rPr>
            </w:pPr>
          </w:p>
        </w:tc>
        <w:tc>
          <w:tcPr>
            <w:tcW w:w="1613" w:type="pct"/>
            <w:noWrap/>
            <w:vAlign w:val="bottom"/>
            <w:hideMark/>
          </w:tcPr>
          <w:p w14:paraId="53AF15D0" w14:textId="77777777" w:rsidR="00F96E85" w:rsidRPr="005732FC" w:rsidRDefault="00F96E85" w:rsidP="00F96E85">
            <w:pPr>
              <w:spacing w:after="0"/>
              <w:jc w:val="center"/>
              <w:rPr>
                <w:rFonts w:ascii="Arial" w:hAnsi="Arial" w:cs="Arial"/>
                <w:sz w:val="20"/>
                <w:szCs w:val="20"/>
              </w:rPr>
            </w:pPr>
          </w:p>
        </w:tc>
        <w:tc>
          <w:tcPr>
            <w:tcW w:w="81" w:type="pct"/>
            <w:noWrap/>
            <w:vAlign w:val="bottom"/>
            <w:hideMark/>
          </w:tcPr>
          <w:p w14:paraId="7EE49EAE" w14:textId="77777777" w:rsidR="00F96E85" w:rsidRPr="005732FC" w:rsidRDefault="00F96E85" w:rsidP="00F96E85">
            <w:pPr>
              <w:spacing w:after="0"/>
              <w:jc w:val="center"/>
              <w:rPr>
                <w:rFonts w:ascii="Arial" w:hAnsi="Arial" w:cs="Arial"/>
                <w:sz w:val="20"/>
                <w:szCs w:val="20"/>
              </w:rPr>
            </w:pPr>
          </w:p>
        </w:tc>
        <w:tc>
          <w:tcPr>
            <w:tcW w:w="1612" w:type="pct"/>
            <w:noWrap/>
            <w:vAlign w:val="bottom"/>
            <w:hideMark/>
          </w:tcPr>
          <w:p w14:paraId="23A87C6A" w14:textId="77777777" w:rsidR="00F96E85" w:rsidRPr="005732FC" w:rsidRDefault="00F96E85" w:rsidP="00F96E85">
            <w:pPr>
              <w:spacing w:after="0"/>
              <w:jc w:val="center"/>
              <w:rPr>
                <w:rFonts w:ascii="Arial" w:hAnsi="Arial" w:cs="Arial"/>
                <w:sz w:val="20"/>
                <w:szCs w:val="20"/>
              </w:rPr>
            </w:pPr>
          </w:p>
        </w:tc>
      </w:tr>
      <w:tr w:rsidR="00F96E85" w:rsidRPr="00F96E85" w14:paraId="28C19E2E" w14:textId="77777777" w:rsidTr="00F96E85">
        <w:trPr>
          <w:trHeight w:val="383"/>
        </w:trPr>
        <w:tc>
          <w:tcPr>
            <w:tcW w:w="1613" w:type="pct"/>
            <w:tcBorders>
              <w:top w:val="single" w:sz="4" w:space="0" w:color="auto"/>
              <w:left w:val="nil"/>
              <w:bottom w:val="nil"/>
              <w:right w:val="nil"/>
            </w:tcBorders>
            <w:vAlign w:val="center"/>
            <w:hideMark/>
          </w:tcPr>
          <w:p w14:paraId="19D88E9A" w14:textId="77777777" w:rsidR="00F96E85" w:rsidRPr="005732FC" w:rsidRDefault="00F96E85" w:rsidP="00F96E85">
            <w:pPr>
              <w:spacing w:after="0"/>
              <w:jc w:val="center"/>
              <w:rPr>
                <w:rFonts w:ascii="Arial" w:hAnsi="Arial" w:cs="Arial"/>
                <w:b/>
                <w:sz w:val="20"/>
                <w:szCs w:val="20"/>
              </w:rPr>
            </w:pPr>
            <w:r w:rsidRPr="005732FC">
              <w:rPr>
                <w:rFonts w:ascii="Arial" w:hAnsi="Arial" w:cs="Arial"/>
                <w:b/>
                <w:sz w:val="20"/>
                <w:szCs w:val="20"/>
              </w:rPr>
              <w:t>C. PERLA EVANELY AGUILAR MARFIL</w:t>
            </w:r>
          </w:p>
        </w:tc>
        <w:tc>
          <w:tcPr>
            <w:tcW w:w="81" w:type="pct"/>
            <w:vAlign w:val="center"/>
            <w:hideMark/>
          </w:tcPr>
          <w:p w14:paraId="23E35CAC" w14:textId="77777777" w:rsidR="00F96E85" w:rsidRPr="005732FC" w:rsidRDefault="00F96E85" w:rsidP="00F96E85">
            <w:pPr>
              <w:spacing w:after="0"/>
              <w:jc w:val="center"/>
              <w:rPr>
                <w:rFonts w:ascii="Arial" w:hAnsi="Arial" w:cs="Arial"/>
                <w:b/>
                <w:sz w:val="20"/>
                <w:szCs w:val="20"/>
              </w:rPr>
            </w:pPr>
          </w:p>
        </w:tc>
        <w:tc>
          <w:tcPr>
            <w:tcW w:w="1613" w:type="pct"/>
            <w:tcBorders>
              <w:top w:val="single" w:sz="4" w:space="0" w:color="auto"/>
              <w:left w:val="nil"/>
              <w:bottom w:val="nil"/>
              <w:right w:val="nil"/>
            </w:tcBorders>
            <w:vAlign w:val="center"/>
            <w:hideMark/>
          </w:tcPr>
          <w:p w14:paraId="64670B33" w14:textId="306F3F53" w:rsidR="00F96E85" w:rsidRPr="005732FC" w:rsidRDefault="003F724F" w:rsidP="00F96E85">
            <w:pPr>
              <w:spacing w:after="0"/>
              <w:jc w:val="center"/>
              <w:rPr>
                <w:rFonts w:ascii="Arial" w:hAnsi="Arial" w:cs="Arial"/>
                <w:b/>
                <w:sz w:val="20"/>
                <w:szCs w:val="20"/>
              </w:rPr>
            </w:pPr>
            <w:r w:rsidRPr="005732FC">
              <w:rPr>
                <w:rFonts w:ascii="Arial" w:hAnsi="Arial" w:cs="Arial"/>
                <w:b/>
                <w:bCs/>
                <w:sz w:val="20"/>
                <w:szCs w:val="20"/>
              </w:rPr>
              <w:t>LIC. ARLY MARIELA MAY KOYOC</w:t>
            </w:r>
          </w:p>
        </w:tc>
        <w:tc>
          <w:tcPr>
            <w:tcW w:w="81" w:type="pct"/>
            <w:vAlign w:val="center"/>
            <w:hideMark/>
          </w:tcPr>
          <w:p w14:paraId="60257FC3" w14:textId="77777777" w:rsidR="00F96E85" w:rsidRPr="005732FC" w:rsidRDefault="00F96E85" w:rsidP="00F96E85">
            <w:pPr>
              <w:spacing w:after="0"/>
              <w:jc w:val="center"/>
              <w:rPr>
                <w:rFonts w:ascii="Arial" w:hAnsi="Arial" w:cs="Arial"/>
                <w:b/>
                <w:sz w:val="20"/>
                <w:szCs w:val="20"/>
              </w:rPr>
            </w:pPr>
          </w:p>
        </w:tc>
        <w:tc>
          <w:tcPr>
            <w:tcW w:w="1612" w:type="pct"/>
            <w:tcBorders>
              <w:top w:val="single" w:sz="4" w:space="0" w:color="auto"/>
              <w:left w:val="nil"/>
              <w:bottom w:val="nil"/>
              <w:right w:val="nil"/>
            </w:tcBorders>
            <w:vAlign w:val="center"/>
            <w:hideMark/>
          </w:tcPr>
          <w:p w14:paraId="19A34CAF" w14:textId="05E68204" w:rsidR="00F96E85" w:rsidRPr="00F96E85" w:rsidRDefault="003F724F" w:rsidP="00F96E85">
            <w:pPr>
              <w:spacing w:after="0"/>
              <w:jc w:val="center"/>
              <w:rPr>
                <w:rFonts w:ascii="Arial" w:hAnsi="Arial" w:cs="Arial"/>
                <w:b/>
                <w:sz w:val="20"/>
                <w:szCs w:val="20"/>
              </w:rPr>
            </w:pPr>
            <w:r w:rsidRPr="005732FC">
              <w:rPr>
                <w:rFonts w:ascii="Arial" w:hAnsi="Arial" w:cs="Arial"/>
                <w:b/>
                <w:bCs/>
                <w:sz w:val="20"/>
                <w:szCs w:val="20"/>
              </w:rPr>
              <w:t>MTRA. POLARIS DESSIRE TENORIO CARDONA</w:t>
            </w:r>
          </w:p>
        </w:tc>
      </w:tr>
    </w:tbl>
    <w:p w14:paraId="58B13124" w14:textId="77777777" w:rsidR="00775102" w:rsidRPr="00BD7C27" w:rsidRDefault="00775102" w:rsidP="005D2B3E">
      <w:pPr>
        <w:spacing w:after="0"/>
        <w:jc w:val="both"/>
        <w:rPr>
          <w:rFonts w:ascii="Arial" w:hAnsi="Arial" w:cs="Arial"/>
          <w:sz w:val="20"/>
          <w:szCs w:val="20"/>
        </w:rPr>
      </w:pPr>
    </w:p>
    <w:sectPr w:rsidR="00775102" w:rsidRPr="00BD7C27" w:rsidSect="002472E2">
      <w:headerReference w:type="default" r:id="rId8"/>
      <w:footerReference w:type="default" r:id="rId9"/>
      <w:pgSz w:w="12240" w:h="15840"/>
      <w:pgMar w:top="720" w:right="720" w:bottom="720" w:left="72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353D" w14:textId="77777777" w:rsidR="005F053F" w:rsidRDefault="005F053F" w:rsidP="00BA3347">
      <w:pPr>
        <w:spacing w:after="0" w:line="240" w:lineRule="auto"/>
      </w:pPr>
      <w:r>
        <w:separator/>
      </w:r>
    </w:p>
  </w:endnote>
  <w:endnote w:type="continuationSeparator" w:id="0">
    <w:p w14:paraId="4D7B1026" w14:textId="77777777" w:rsidR="005F053F" w:rsidRDefault="005F053F" w:rsidP="00BA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9647" w14:textId="0CDD2E9A" w:rsidR="00B13487" w:rsidRPr="002472E2" w:rsidRDefault="00B13487">
    <w:pPr>
      <w:tabs>
        <w:tab w:val="center" w:pos="4550"/>
        <w:tab w:val="left" w:pos="5818"/>
      </w:tabs>
      <w:ind w:right="260"/>
      <w:jc w:val="right"/>
      <w:rPr>
        <w:rFonts w:ascii="Arial" w:hAnsi="Arial" w:cs="Arial"/>
        <w:color w:val="222A35" w:themeColor="text2" w:themeShade="80"/>
        <w:sz w:val="20"/>
        <w:szCs w:val="20"/>
      </w:rPr>
    </w:pPr>
    <w:r w:rsidRPr="002472E2">
      <w:rPr>
        <w:rFonts w:ascii="Arial" w:hAnsi="Arial" w:cs="Arial"/>
        <w:color w:val="8496B0" w:themeColor="text2" w:themeTint="99"/>
        <w:sz w:val="20"/>
        <w:szCs w:val="20"/>
        <w:lang w:val="es-ES"/>
      </w:rPr>
      <w:t xml:space="preserve"> </w:t>
    </w:r>
    <w:r w:rsidRPr="002472E2">
      <w:rPr>
        <w:rFonts w:ascii="Arial" w:hAnsi="Arial" w:cs="Arial"/>
        <w:color w:val="323E4F" w:themeColor="text2" w:themeShade="BF"/>
        <w:sz w:val="20"/>
        <w:szCs w:val="20"/>
      </w:rPr>
      <w:fldChar w:fldCharType="begin"/>
    </w:r>
    <w:r w:rsidRPr="002472E2">
      <w:rPr>
        <w:rFonts w:ascii="Arial" w:hAnsi="Arial" w:cs="Arial"/>
        <w:color w:val="323E4F" w:themeColor="text2" w:themeShade="BF"/>
        <w:sz w:val="20"/>
        <w:szCs w:val="20"/>
      </w:rPr>
      <w:instrText>PAGE   \* MERGEFORMAT</w:instrText>
    </w:r>
    <w:r w:rsidRPr="002472E2">
      <w:rPr>
        <w:rFonts w:ascii="Arial" w:hAnsi="Arial" w:cs="Arial"/>
        <w:color w:val="323E4F" w:themeColor="text2" w:themeShade="BF"/>
        <w:sz w:val="20"/>
        <w:szCs w:val="20"/>
      </w:rPr>
      <w:fldChar w:fldCharType="separate"/>
    </w:r>
    <w:r w:rsidR="003C6ACC" w:rsidRPr="003C6ACC">
      <w:rPr>
        <w:rFonts w:ascii="Arial" w:hAnsi="Arial" w:cs="Arial"/>
        <w:noProof/>
        <w:color w:val="323E4F" w:themeColor="text2" w:themeShade="BF"/>
        <w:sz w:val="20"/>
        <w:szCs w:val="20"/>
        <w:lang w:val="es-ES"/>
      </w:rPr>
      <w:t>1</w:t>
    </w:r>
    <w:r w:rsidRPr="002472E2">
      <w:rPr>
        <w:rFonts w:ascii="Arial" w:hAnsi="Arial" w:cs="Arial"/>
        <w:color w:val="323E4F" w:themeColor="text2" w:themeShade="BF"/>
        <w:sz w:val="20"/>
        <w:szCs w:val="20"/>
      </w:rPr>
      <w:fldChar w:fldCharType="end"/>
    </w:r>
    <w:r w:rsidRPr="002472E2">
      <w:rPr>
        <w:rFonts w:ascii="Arial" w:hAnsi="Arial" w:cs="Arial"/>
        <w:color w:val="323E4F" w:themeColor="text2" w:themeShade="BF"/>
        <w:sz w:val="20"/>
        <w:szCs w:val="20"/>
        <w:lang w:val="es-ES"/>
      </w:rPr>
      <w:t xml:space="preserve"> | </w:t>
    </w:r>
    <w:r w:rsidRPr="002472E2">
      <w:rPr>
        <w:rFonts w:ascii="Arial" w:hAnsi="Arial" w:cs="Arial"/>
        <w:color w:val="323E4F" w:themeColor="text2" w:themeShade="BF"/>
        <w:sz w:val="20"/>
        <w:szCs w:val="20"/>
      </w:rPr>
      <w:fldChar w:fldCharType="begin"/>
    </w:r>
    <w:r w:rsidRPr="002472E2">
      <w:rPr>
        <w:rFonts w:ascii="Arial" w:hAnsi="Arial" w:cs="Arial"/>
        <w:color w:val="323E4F" w:themeColor="text2" w:themeShade="BF"/>
        <w:sz w:val="20"/>
        <w:szCs w:val="20"/>
      </w:rPr>
      <w:instrText>NUMPAGES  \* Arabic  \* MERGEFORMAT</w:instrText>
    </w:r>
    <w:r w:rsidRPr="002472E2">
      <w:rPr>
        <w:rFonts w:ascii="Arial" w:hAnsi="Arial" w:cs="Arial"/>
        <w:color w:val="323E4F" w:themeColor="text2" w:themeShade="BF"/>
        <w:sz w:val="20"/>
        <w:szCs w:val="20"/>
      </w:rPr>
      <w:fldChar w:fldCharType="separate"/>
    </w:r>
    <w:r w:rsidR="003C6ACC" w:rsidRPr="003C6ACC">
      <w:rPr>
        <w:rFonts w:ascii="Arial" w:hAnsi="Arial" w:cs="Arial"/>
        <w:noProof/>
        <w:color w:val="323E4F" w:themeColor="text2" w:themeShade="BF"/>
        <w:sz w:val="20"/>
        <w:szCs w:val="20"/>
        <w:lang w:val="es-ES"/>
      </w:rPr>
      <w:t>33</w:t>
    </w:r>
    <w:r w:rsidRPr="002472E2">
      <w:rPr>
        <w:rFonts w:ascii="Arial" w:hAnsi="Arial" w:cs="Arial"/>
        <w:color w:val="323E4F" w:themeColor="text2" w:themeShade="BF"/>
        <w:sz w:val="20"/>
        <w:szCs w:val="20"/>
      </w:rPr>
      <w:fldChar w:fldCharType="end"/>
    </w:r>
  </w:p>
  <w:p w14:paraId="4EB8D25A" w14:textId="77777777" w:rsidR="00B13487" w:rsidRDefault="00B134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6DF5" w14:textId="77777777" w:rsidR="005F053F" w:rsidRDefault="005F053F" w:rsidP="00BA3347">
      <w:pPr>
        <w:spacing w:after="0" w:line="240" w:lineRule="auto"/>
      </w:pPr>
      <w:r>
        <w:separator/>
      </w:r>
    </w:p>
  </w:footnote>
  <w:footnote w:type="continuationSeparator" w:id="0">
    <w:p w14:paraId="6FCB62CA" w14:textId="77777777" w:rsidR="005F053F" w:rsidRDefault="005F053F" w:rsidP="00BA3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03D7" w14:textId="703B9D73" w:rsidR="00B13487" w:rsidRPr="00521F46" w:rsidRDefault="00B13487" w:rsidP="00BA3347">
    <w:pPr>
      <w:pStyle w:val="Encabezado"/>
      <w:jc w:val="center"/>
      <w:rPr>
        <w:rFonts w:ascii="Arial" w:hAnsi="Arial" w:cs="Arial"/>
        <w:b/>
        <w:bCs/>
        <w:sz w:val="20"/>
        <w:szCs w:val="20"/>
      </w:rPr>
    </w:pPr>
    <w:r w:rsidRPr="00521F46">
      <w:rPr>
        <w:rFonts w:ascii="Arial" w:hAnsi="Arial" w:cs="Arial"/>
        <w:b/>
        <w:bCs/>
        <w:noProof/>
        <w:sz w:val="20"/>
        <w:szCs w:val="20"/>
        <w:lang w:eastAsia="es-MX"/>
      </w:rPr>
      <w:drawing>
        <wp:anchor distT="0" distB="0" distL="114300" distR="114300" simplePos="0" relativeHeight="251666432" behindDoc="0" locked="0" layoutInCell="1" allowOverlap="1" wp14:anchorId="3A1449DA" wp14:editId="4AB2CC9A">
          <wp:simplePos x="0" y="0"/>
          <wp:positionH relativeFrom="column">
            <wp:posOffset>114301</wp:posOffset>
          </wp:positionH>
          <wp:positionV relativeFrom="paragraph">
            <wp:posOffset>-220980</wp:posOffset>
          </wp:positionV>
          <wp:extent cx="759054" cy="799892"/>
          <wp:effectExtent l="0" t="0" r="3175" b="635"/>
          <wp:wrapNone/>
          <wp:docPr id="8850127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9675"/>
                  <a:stretch/>
                </pic:blipFill>
                <pic:spPr bwMode="auto">
                  <a:xfrm>
                    <a:off x="0" y="0"/>
                    <a:ext cx="762520" cy="8035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21F46">
      <w:rPr>
        <w:rFonts w:ascii="Arial" w:hAnsi="Arial" w:cs="Arial"/>
        <w:b/>
        <w:bCs/>
        <w:sz w:val="20"/>
        <w:szCs w:val="20"/>
      </w:rPr>
      <w:t>MUNICIPIO DE BENITO JUÁREZ</w:t>
    </w:r>
  </w:p>
  <w:p w14:paraId="244F3C81" w14:textId="77777777" w:rsidR="00B13487" w:rsidRPr="00521F46" w:rsidRDefault="00B13487" w:rsidP="00BA3347">
    <w:pPr>
      <w:pStyle w:val="Encabezado"/>
      <w:jc w:val="center"/>
      <w:rPr>
        <w:rFonts w:ascii="Arial" w:hAnsi="Arial" w:cs="Arial"/>
        <w:b/>
        <w:bCs/>
        <w:sz w:val="20"/>
        <w:szCs w:val="20"/>
      </w:rPr>
    </w:pPr>
    <w:r w:rsidRPr="00521F46">
      <w:rPr>
        <w:rFonts w:ascii="Arial" w:hAnsi="Arial" w:cs="Arial"/>
        <w:b/>
        <w:bCs/>
        <w:sz w:val="20"/>
        <w:szCs w:val="20"/>
      </w:rPr>
      <w:t>NOTAS A LOS ESTADOS FINANCIEROS</w:t>
    </w:r>
  </w:p>
  <w:p w14:paraId="0ED0DBD6" w14:textId="362CDD53" w:rsidR="00B13487" w:rsidRPr="00521F46" w:rsidRDefault="00B13487" w:rsidP="00BA3347">
    <w:pPr>
      <w:pStyle w:val="Encabezado"/>
      <w:jc w:val="center"/>
      <w:rPr>
        <w:rFonts w:ascii="Arial" w:hAnsi="Arial" w:cs="Arial"/>
        <w:b/>
        <w:bCs/>
        <w:sz w:val="20"/>
        <w:szCs w:val="20"/>
      </w:rPr>
    </w:pPr>
    <w:r w:rsidRPr="00521F46">
      <w:rPr>
        <w:rFonts w:ascii="Arial" w:hAnsi="Arial" w:cs="Arial"/>
        <w:b/>
        <w:bCs/>
        <w:sz w:val="20"/>
        <w:szCs w:val="20"/>
      </w:rPr>
      <w:t xml:space="preserve">AL </w:t>
    </w:r>
    <w:r w:rsidR="002836D0">
      <w:rPr>
        <w:rFonts w:ascii="Arial" w:hAnsi="Arial" w:cs="Arial"/>
        <w:b/>
        <w:bCs/>
        <w:sz w:val="20"/>
        <w:szCs w:val="20"/>
      </w:rPr>
      <w:t>3</w:t>
    </w:r>
    <w:r w:rsidR="00092BDB">
      <w:rPr>
        <w:rFonts w:ascii="Arial" w:hAnsi="Arial" w:cs="Arial"/>
        <w:b/>
        <w:bCs/>
        <w:sz w:val="20"/>
        <w:szCs w:val="20"/>
      </w:rPr>
      <w:t>0</w:t>
    </w:r>
    <w:r w:rsidRPr="00521F46">
      <w:rPr>
        <w:rFonts w:ascii="Arial" w:hAnsi="Arial" w:cs="Arial"/>
        <w:b/>
        <w:bCs/>
        <w:sz w:val="20"/>
        <w:szCs w:val="20"/>
      </w:rPr>
      <w:t xml:space="preserve"> DE </w:t>
    </w:r>
    <w:r w:rsidR="00092BDB">
      <w:rPr>
        <w:rFonts w:ascii="Arial" w:hAnsi="Arial" w:cs="Arial"/>
        <w:b/>
        <w:bCs/>
        <w:sz w:val="20"/>
        <w:szCs w:val="20"/>
      </w:rPr>
      <w:t>JUNIO</w:t>
    </w:r>
    <w:r w:rsidRPr="00521F46">
      <w:rPr>
        <w:rFonts w:ascii="Arial" w:hAnsi="Arial" w:cs="Arial"/>
        <w:b/>
        <w:bCs/>
        <w:sz w:val="20"/>
        <w:szCs w:val="20"/>
      </w:rPr>
      <w:t xml:space="preserve"> DEL 202</w:t>
    </w:r>
    <w:r w:rsidR="009E00EA">
      <w:rPr>
        <w:rFonts w:ascii="Arial" w:hAnsi="Arial" w:cs="Arial"/>
        <w:b/>
        <w:bCs/>
        <w:sz w:val="20"/>
        <w:szCs w:val="20"/>
      </w:rPr>
      <w:t>5</w:t>
    </w:r>
  </w:p>
  <w:p w14:paraId="4CB34433" w14:textId="7D8E5257" w:rsidR="00B13487" w:rsidRPr="00521F46" w:rsidRDefault="00B13487" w:rsidP="00BA3347">
    <w:pPr>
      <w:pStyle w:val="Encabezado"/>
      <w:jc w:val="center"/>
      <w:rPr>
        <w:rFonts w:ascii="Arial" w:hAnsi="Arial" w:cs="Arial"/>
        <w:b/>
        <w:bCs/>
        <w:sz w:val="20"/>
        <w:szCs w:val="20"/>
      </w:rPr>
    </w:pPr>
    <w:r w:rsidRPr="00521F46">
      <w:rPr>
        <w:rFonts w:ascii="Arial" w:hAnsi="Arial" w:cs="Arial"/>
        <w:b/>
        <w:bCs/>
        <w:sz w:val="20"/>
        <w:szCs w:val="20"/>
      </w:rPr>
      <w:t>(cifras en pesos)</w:t>
    </w:r>
  </w:p>
  <w:p w14:paraId="7C0F338F" w14:textId="77777777" w:rsidR="00B13487" w:rsidRPr="00BA3347" w:rsidRDefault="00B13487" w:rsidP="00BA3347">
    <w:pPr>
      <w:pStyle w:val="Encabezad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E7"/>
    <w:multiLevelType w:val="hybridMultilevel"/>
    <w:tmpl w:val="3BA44D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47E2C"/>
    <w:multiLevelType w:val="multilevel"/>
    <w:tmpl w:val="B32AF462"/>
    <w:lvl w:ilvl="0">
      <w:start w:val="1"/>
      <w:numFmt w:val="decimal"/>
      <w:lvlText w:val="%1."/>
      <w:lvlJc w:val="left"/>
      <w:pPr>
        <w:ind w:left="1065" w:hanging="705"/>
      </w:pPr>
      <w:rPr>
        <w:rFonts w:hint="default"/>
      </w:rPr>
    </w:lvl>
    <w:lvl w:ilvl="1">
      <w:start w:val="3"/>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BB18BA"/>
    <w:multiLevelType w:val="hybridMultilevel"/>
    <w:tmpl w:val="B62E7B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1A50C0"/>
    <w:multiLevelType w:val="hybridMultilevel"/>
    <w:tmpl w:val="2042DCA0"/>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 w15:restartNumberingAfterBreak="0">
    <w:nsid w:val="068A0E7C"/>
    <w:multiLevelType w:val="hybridMultilevel"/>
    <w:tmpl w:val="BF442B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C956F4"/>
    <w:multiLevelType w:val="hybridMultilevel"/>
    <w:tmpl w:val="0BE0F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2624C"/>
    <w:multiLevelType w:val="hybridMultilevel"/>
    <w:tmpl w:val="890E70C8"/>
    <w:lvl w:ilvl="0" w:tplc="EA28AC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96244"/>
    <w:multiLevelType w:val="hybridMultilevel"/>
    <w:tmpl w:val="098483AE"/>
    <w:lvl w:ilvl="0" w:tplc="DA4C3148">
      <w:start w:val="1"/>
      <w:numFmt w:val="decimal"/>
      <w:lvlText w:val="%1"/>
      <w:lvlJc w:val="left"/>
      <w:pPr>
        <w:ind w:left="1125" w:hanging="7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F00275"/>
    <w:multiLevelType w:val="hybridMultilevel"/>
    <w:tmpl w:val="E79E5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F0863"/>
    <w:multiLevelType w:val="multilevel"/>
    <w:tmpl w:val="6AF0D25E"/>
    <w:lvl w:ilvl="0">
      <w:start w:val="1"/>
      <w:numFmt w:val="decimal"/>
      <w:lvlText w:val="%1"/>
      <w:lvlJc w:val="left"/>
      <w:pPr>
        <w:ind w:left="360" w:hanging="360"/>
      </w:pPr>
      <w:rPr>
        <w:rFonts w:hint="default"/>
        <w:b/>
      </w:rPr>
    </w:lvl>
    <w:lvl w:ilvl="1">
      <w:start w:val="1"/>
      <w:numFmt w:val="decimal"/>
      <w:lvlText w:val="%1.%2"/>
      <w:lvlJc w:val="left"/>
      <w:pPr>
        <w:ind w:left="76" w:hanging="360"/>
      </w:pPr>
      <w:rPr>
        <w:rFonts w:hint="default"/>
        <w:b/>
        <w:color w:val="auto"/>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0" w15:restartNumberingAfterBreak="0">
    <w:nsid w:val="19AB6AE7"/>
    <w:multiLevelType w:val="hybridMultilevel"/>
    <w:tmpl w:val="F350FB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FD0199"/>
    <w:multiLevelType w:val="hybridMultilevel"/>
    <w:tmpl w:val="3CCA85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531F33"/>
    <w:multiLevelType w:val="hybridMultilevel"/>
    <w:tmpl w:val="3CCA85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AC190E"/>
    <w:multiLevelType w:val="multilevel"/>
    <w:tmpl w:val="9B9049A6"/>
    <w:lvl w:ilvl="0">
      <w:start w:val="5"/>
      <w:numFmt w:val="decimal"/>
      <w:lvlText w:val="%1."/>
      <w:lvlJc w:val="left"/>
      <w:pPr>
        <w:ind w:left="436" w:hanging="360"/>
      </w:pPr>
      <w:rPr>
        <w:rFonts w:hint="default"/>
        <w:color w:val="auto"/>
      </w:rPr>
    </w:lvl>
    <w:lvl w:ilvl="1">
      <w:start w:val="1"/>
      <w:numFmt w:val="lowerLetter"/>
      <w:lvlText w:val="%2)"/>
      <w:lvlJc w:val="left"/>
      <w:pPr>
        <w:ind w:left="436" w:hanging="360"/>
      </w:pPr>
      <w:rPr>
        <w:rFonts w:ascii="Arial" w:hAnsi="Arial" w:cs="Arial" w:hint="default"/>
        <w:b/>
        <w:bCs/>
        <w:sz w:val="20"/>
        <w:szCs w:val="20"/>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4" w15:restartNumberingAfterBreak="0">
    <w:nsid w:val="213071A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2701F"/>
    <w:multiLevelType w:val="hybridMultilevel"/>
    <w:tmpl w:val="2DDCD188"/>
    <w:lvl w:ilvl="0" w:tplc="C78E4834">
      <w:start w:val="5"/>
      <w:numFmt w:val="decimal"/>
      <w:lvlText w:val="%1."/>
      <w:lvlJc w:val="left"/>
      <w:pPr>
        <w:ind w:left="928" w:hanging="360"/>
      </w:pPr>
      <w:rPr>
        <w:rFonts w:hint="default"/>
        <w:b/>
        <w:bCs/>
        <w:color w:val="auto"/>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6" w15:restartNumberingAfterBreak="0">
    <w:nsid w:val="2AAD7111"/>
    <w:multiLevelType w:val="hybridMultilevel"/>
    <w:tmpl w:val="71FC49A0"/>
    <w:lvl w:ilvl="0" w:tplc="0FA8E776">
      <w:start w:val="1"/>
      <w:numFmt w:val="lowerLetter"/>
      <w:lvlText w:val="%1)"/>
      <w:lvlJc w:val="left"/>
      <w:pPr>
        <w:ind w:left="644" w:hanging="360"/>
      </w:pPr>
      <w:rPr>
        <w:rFonts w:ascii="Arial" w:hAnsi="Arial" w:cs="Arial"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4D476B"/>
    <w:multiLevelType w:val="multilevel"/>
    <w:tmpl w:val="D2ACBBF2"/>
    <w:lvl w:ilvl="0">
      <w:start w:val="1"/>
      <w:numFmt w:val="decimal"/>
      <w:lvlText w:val="%1."/>
      <w:lvlJc w:val="left"/>
      <w:pPr>
        <w:ind w:left="648" w:hanging="360"/>
      </w:pPr>
      <w:rPr>
        <w:rFonts w:hint="default"/>
      </w:rPr>
    </w:lvl>
    <w:lvl w:ilvl="1">
      <w:start w:val="2"/>
      <w:numFmt w:val="decimal"/>
      <w:lvlText w:val="%2."/>
      <w:lvlJc w:val="left"/>
      <w:pPr>
        <w:ind w:left="648" w:hanging="360"/>
      </w:pPr>
      <w:rPr>
        <w:rFonts w:hint="default"/>
        <w:color w:val="auto"/>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8" w15:restartNumberingAfterBreak="0">
    <w:nsid w:val="31500A23"/>
    <w:multiLevelType w:val="hybridMultilevel"/>
    <w:tmpl w:val="83B8BE70"/>
    <w:lvl w:ilvl="0" w:tplc="691CC26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3E7630"/>
    <w:multiLevelType w:val="hybridMultilevel"/>
    <w:tmpl w:val="C67E467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5DD2E6E"/>
    <w:multiLevelType w:val="multilevel"/>
    <w:tmpl w:val="247E7F16"/>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36F763C3"/>
    <w:multiLevelType w:val="hybridMultilevel"/>
    <w:tmpl w:val="C432660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4E0C1F"/>
    <w:multiLevelType w:val="hybridMultilevel"/>
    <w:tmpl w:val="6818E2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700940"/>
    <w:multiLevelType w:val="hybridMultilevel"/>
    <w:tmpl w:val="F7145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EF34F5"/>
    <w:multiLevelType w:val="hybridMultilevel"/>
    <w:tmpl w:val="94947EBA"/>
    <w:lvl w:ilvl="0" w:tplc="92EAA592">
      <w:start w:val="4"/>
      <w:numFmt w:val="decimal"/>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FB68C0"/>
    <w:multiLevelType w:val="multilevel"/>
    <w:tmpl w:val="EDBE331E"/>
    <w:lvl w:ilvl="0">
      <w:start w:val="1"/>
      <w:numFmt w:val="decimal"/>
      <w:lvlText w:val="%1."/>
      <w:lvlJc w:val="left"/>
      <w:pPr>
        <w:ind w:left="1065" w:hanging="705"/>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4176BD"/>
    <w:multiLevelType w:val="hybridMultilevel"/>
    <w:tmpl w:val="E47C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413230"/>
    <w:multiLevelType w:val="hybridMultilevel"/>
    <w:tmpl w:val="0EC289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EA4B75"/>
    <w:multiLevelType w:val="hybridMultilevel"/>
    <w:tmpl w:val="019AD2D6"/>
    <w:lvl w:ilvl="0" w:tplc="F566003C">
      <w:start w:val="1"/>
      <w:numFmt w:val="decimal"/>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956982"/>
    <w:multiLevelType w:val="hybridMultilevel"/>
    <w:tmpl w:val="E06416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FD730A"/>
    <w:multiLevelType w:val="hybridMultilevel"/>
    <w:tmpl w:val="08E20F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5C72EF"/>
    <w:multiLevelType w:val="hybridMultilevel"/>
    <w:tmpl w:val="6422D45E"/>
    <w:lvl w:ilvl="0" w:tplc="080A0017">
      <w:start w:val="1"/>
      <w:numFmt w:val="lowerLetter"/>
      <w:lvlText w:val="%1)"/>
      <w:lvlJc w:val="left"/>
      <w:pPr>
        <w:ind w:left="644"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A701A6"/>
    <w:multiLevelType w:val="hybridMultilevel"/>
    <w:tmpl w:val="F3F47EAE"/>
    <w:lvl w:ilvl="0" w:tplc="505E833C">
      <w:start w:val="1"/>
      <w:numFmt w:val="decimal"/>
      <w:lvlText w:val="%1"/>
      <w:lvlJc w:val="left"/>
      <w:pPr>
        <w:ind w:left="436" w:hanging="360"/>
      </w:pPr>
      <w:rPr>
        <w:rFonts w:hint="default"/>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15:restartNumberingAfterBreak="0">
    <w:nsid w:val="5B0068D4"/>
    <w:multiLevelType w:val="multilevel"/>
    <w:tmpl w:val="D8108B14"/>
    <w:lvl w:ilvl="0">
      <w:start w:val="1"/>
      <w:numFmt w:val="decimal"/>
      <w:lvlText w:val="%1."/>
      <w:lvlJc w:val="left"/>
      <w:pPr>
        <w:ind w:left="1065" w:hanging="705"/>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050ED0"/>
    <w:multiLevelType w:val="multilevel"/>
    <w:tmpl w:val="FB381516"/>
    <w:lvl w:ilvl="0">
      <w:start w:val="1"/>
      <w:numFmt w:val="decimal"/>
      <w:lvlText w:val="%1."/>
      <w:lvlJc w:val="left"/>
      <w:pPr>
        <w:ind w:left="648" w:hanging="360"/>
      </w:pPr>
      <w:rPr>
        <w:rFonts w:hint="default"/>
      </w:rPr>
    </w:lvl>
    <w:lvl w:ilvl="1">
      <w:start w:val="2"/>
      <w:numFmt w:val="decimal"/>
      <w:isLgl/>
      <w:lvlText w:val="%1.%2"/>
      <w:lvlJc w:val="left"/>
      <w:pPr>
        <w:ind w:left="648" w:hanging="360"/>
      </w:pPr>
      <w:rPr>
        <w:rFonts w:ascii="Arial" w:hAnsi="Arial" w:cs="Arial" w:hint="default"/>
        <w:sz w:val="18"/>
        <w:szCs w:val="18"/>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35" w15:restartNumberingAfterBreak="0">
    <w:nsid w:val="5B296D28"/>
    <w:multiLevelType w:val="hybridMultilevel"/>
    <w:tmpl w:val="F07A33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041CE9"/>
    <w:multiLevelType w:val="hybridMultilevel"/>
    <w:tmpl w:val="913C46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F16B16"/>
    <w:multiLevelType w:val="hybridMultilevel"/>
    <w:tmpl w:val="763C5C0E"/>
    <w:lvl w:ilvl="0" w:tplc="505E833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E3222B"/>
    <w:multiLevelType w:val="hybridMultilevel"/>
    <w:tmpl w:val="E63C187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9185811"/>
    <w:multiLevelType w:val="hybridMultilevel"/>
    <w:tmpl w:val="6422D45E"/>
    <w:lvl w:ilvl="0" w:tplc="FFFFFFFF">
      <w:start w:val="1"/>
      <w:numFmt w:val="lowerLetter"/>
      <w:lvlText w:val="%1)"/>
      <w:lvlJc w:val="left"/>
      <w:pPr>
        <w:ind w:left="644"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3070641">
    <w:abstractNumId w:val="36"/>
  </w:num>
  <w:num w:numId="2" w16cid:durableId="1513060116">
    <w:abstractNumId w:val="25"/>
  </w:num>
  <w:num w:numId="3" w16cid:durableId="1663509605">
    <w:abstractNumId w:val="6"/>
  </w:num>
  <w:num w:numId="4" w16cid:durableId="565647762">
    <w:abstractNumId w:val="37"/>
  </w:num>
  <w:num w:numId="5" w16cid:durableId="2099475127">
    <w:abstractNumId w:val="32"/>
  </w:num>
  <w:num w:numId="6" w16cid:durableId="514344863">
    <w:abstractNumId w:val="13"/>
  </w:num>
  <w:num w:numId="7" w16cid:durableId="1931814018">
    <w:abstractNumId w:val="3"/>
  </w:num>
  <w:num w:numId="8" w16cid:durableId="1780104276">
    <w:abstractNumId w:val="29"/>
  </w:num>
  <w:num w:numId="9" w16cid:durableId="1461608590">
    <w:abstractNumId w:val="26"/>
  </w:num>
  <w:num w:numId="10" w16cid:durableId="313603127">
    <w:abstractNumId w:val="4"/>
  </w:num>
  <w:num w:numId="11" w16cid:durableId="1976637214">
    <w:abstractNumId w:val="23"/>
  </w:num>
  <w:num w:numId="12" w16cid:durableId="1191067432">
    <w:abstractNumId w:val="9"/>
  </w:num>
  <w:num w:numId="13" w16cid:durableId="8803236">
    <w:abstractNumId w:val="7"/>
  </w:num>
  <w:num w:numId="14" w16cid:durableId="894046118">
    <w:abstractNumId w:val="20"/>
  </w:num>
  <w:num w:numId="15" w16cid:durableId="1497921954">
    <w:abstractNumId w:val="14"/>
  </w:num>
  <w:num w:numId="16" w16cid:durableId="605625475">
    <w:abstractNumId w:val="34"/>
  </w:num>
  <w:num w:numId="17" w16cid:durableId="1247808630">
    <w:abstractNumId w:val="17"/>
  </w:num>
  <w:num w:numId="18" w16cid:durableId="1228414216">
    <w:abstractNumId w:val="5"/>
  </w:num>
  <w:num w:numId="19" w16cid:durableId="1690060934">
    <w:abstractNumId w:val="24"/>
  </w:num>
  <w:num w:numId="20" w16cid:durableId="1129057359">
    <w:abstractNumId w:val="28"/>
  </w:num>
  <w:num w:numId="21" w16cid:durableId="1461263289">
    <w:abstractNumId w:val="35"/>
  </w:num>
  <w:num w:numId="22" w16cid:durableId="1886216371">
    <w:abstractNumId w:val="21"/>
  </w:num>
  <w:num w:numId="23" w16cid:durableId="1083573636">
    <w:abstractNumId w:val="27"/>
  </w:num>
  <w:num w:numId="24" w16cid:durableId="1296062636">
    <w:abstractNumId w:val="33"/>
  </w:num>
  <w:num w:numId="25" w16cid:durableId="790245594">
    <w:abstractNumId w:val="1"/>
  </w:num>
  <w:num w:numId="26" w16cid:durableId="2070683733">
    <w:abstractNumId w:val="2"/>
  </w:num>
  <w:num w:numId="27" w16cid:durableId="1884517902">
    <w:abstractNumId w:val="38"/>
  </w:num>
  <w:num w:numId="28" w16cid:durableId="330987219">
    <w:abstractNumId w:val="12"/>
  </w:num>
  <w:num w:numId="29" w16cid:durableId="1301809581">
    <w:abstractNumId w:val="8"/>
  </w:num>
  <w:num w:numId="30" w16cid:durableId="700976345">
    <w:abstractNumId w:val="0"/>
  </w:num>
  <w:num w:numId="31" w16cid:durableId="1113597312">
    <w:abstractNumId w:val="22"/>
  </w:num>
  <w:num w:numId="32" w16cid:durableId="900406095">
    <w:abstractNumId w:val="16"/>
  </w:num>
  <w:num w:numId="33" w16cid:durableId="323945520">
    <w:abstractNumId w:val="30"/>
  </w:num>
  <w:num w:numId="34" w16cid:durableId="1020467688">
    <w:abstractNumId w:val="19"/>
  </w:num>
  <w:num w:numId="35" w16cid:durableId="1640188239">
    <w:abstractNumId w:val="18"/>
  </w:num>
  <w:num w:numId="36" w16cid:durableId="370686236">
    <w:abstractNumId w:val="31"/>
  </w:num>
  <w:num w:numId="37" w16cid:durableId="262345133">
    <w:abstractNumId w:val="10"/>
  </w:num>
  <w:num w:numId="38" w16cid:durableId="553389949">
    <w:abstractNumId w:val="39"/>
  </w:num>
  <w:num w:numId="39" w16cid:durableId="2139957645">
    <w:abstractNumId w:val="11"/>
  </w:num>
  <w:num w:numId="40" w16cid:durableId="8255889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47"/>
    <w:rsid w:val="00002C78"/>
    <w:rsid w:val="0000498C"/>
    <w:rsid w:val="00005AC7"/>
    <w:rsid w:val="00011577"/>
    <w:rsid w:val="00013983"/>
    <w:rsid w:val="000139DB"/>
    <w:rsid w:val="00016D47"/>
    <w:rsid w:val="00016EAE"/>
    <w:rsid w:val="00017A1F"/>
    <w:rsid w:val="00021721"/>
    <w:rsid w:val="0002408A"/>
    <w:rsid w:val="00026BA8"/>
    <w:rsid w:val="000275A8"/>
    <w:rsid w:val="000349ED"/>
    <w:rsid w:val="00037C0E"/>
    <w:rsid w:val="00040F41"/>
    <w:rsid w:val="000413DA"/>
    <w:rsid w:val="0004140C"/>
    <w:rsid w:val="00042533"/>
    <w:rsid w:val="00044BB2"/>
    <w:rsid w:val="000506FE"/>
    <w:rsid w:val="00052B74"/>
    <w:rsid w:val="00056589"/>
    <w:rsid w:val="000616CD"/>
    <w:rsid w:val="000616D8"/>
    <w:rsid w:val="000627E8"/>
    <w:rsid w:val="000634A0"/>
    <w:rsid w:val="00065FDA"/>
    <w:rsid w:val="000667C1"/>
    <w:rsid w:val="00066DB9"/>
    <w:rsid w:val="00075BD9"/>
    <w:rsid w:val="00075E44"/>
    <w:rsid w:val="00080E13"/>
    <w:rsid w:val="000830E5"/>
    <w:rsid w:val="000835CC"/>
    <w:rsid w:val="000855E4"/>
    <w:rsid w:val="0009062C"/>
    <w:rsid w:val="00091028"/>
    <w:rsid w:val="000929E5"/>
    <w:rsid w:val="00092BDB"/>
    <w:rsid w:val="00093F82"/>
    <w:rsid w:val="00097427"/>
    <w:rsid w:val="000A41EA"/>
    <w:rsid w:val="000B0085"/>
    <w:rsid w:val="000B2EA8"/>
    <w:rsid w:val="000B5840"/>
    <w:rsid w:val="000C2617"/>
    <w:rsid w:val="000C2D13"/>
    <w:rsid w:val="000C4077"/>
    <w:rsid w:val="000C5206"/>
    <w:rsid w:val="000C5A52"/>
    <w:rsid w:val="000C5E00"/>
    <w:rsid w:val="000C6255"/>
    <w:rsid w:val="000C72E4"/>
    <w:rsid w:val="000C7C45"/>
    <w:rsid w:val="000D0B0B"/>
    <w:rsid w:val="000D3DF3"/>
    <w:rsid w:val="000D3FC0"/>
    <w:rsid w:val="000D7ED0"/>
    <w:rsid w:val="000D7FE6"/>
    <w:rsid w:val="000E052D"/>
    <w:rsid w:val="000E2211"/>
    <w:rsid w:val="000E240B"/>
    <w:rsid w:val="000E4EA3"/>
    <w:rsid w:val="000E6F1B"/>
    <w:rsid w:val="000E75CC"/>
    <w:rsid w:val="000E7F0D"/>
    <w:rsid w:val="000F02CD"/>
    <w:rsid w:val="000F2BF4"/>
    <w:rsid w:val="000F50DF"/>
    <w:rsid w:val="001020A8"/>
    <w:rsid w:val="001020BF"/>
    <w:rsid w:val="00104B60"/>
    <w:rsid w:val="0010526C"/>
    <w:rsid w:val="0010723E"/>
    <w:rsid w:val="0010746C"/>
    <w:rsid w:val="00107B4C"/>
    <w:rsid w:val="00107D32"/>
    <w:rsid w:val="0011154E"/>
    <w:rsid w:val="00111847"/>
    <w:rsid w:val="00114CB5"/>
    <w:rsid w:val="00114E4C"/>
    <w:rsid w:val="00115196"/>
    <w:rsid w:val="00115B56"/>
    <w:rsid w:val="00121327"/>
    <w:rsid w:val="001222FD"/>
    <w:rsid w:val="00122F6A"/>
    <w:rsid w:val="00123B46"/>
    <w:rsid w:val="001252A8"/>
    <w:rsid w:val="00125C96"/>
    <w:rsid w:val="00130EC7"/>
    <w:rsid w:val="001321D4"/>
    <w:rsid w:val="001323AA"/>
    <w:rsid w:val="00133028"/>
    <w:rsid w:val="00134666"/>
    <w:rsid w:val="00134717"/>
    <w:rsid w:val="0013512A"/>
    <w:rsid w:val="001353A4"/>
    <w:rsid w:val="00140201"/>
    <w:rsid w:val="00142216"/>
    <w:rsid w:val="00142EC4"/>
    <w:rsid w:val="001430E4"/>
    <w:rsid w:val="00146920"/>
    <w:rsid w:val="00154F2A"/>
    <w:rsid w:val="00157050"/>
    <w:rsid w:val="00157A0E"/>
    <w:rsid w:val="00160029"/>
    <w:rsid w:val="00167A24"/>
    <w:rsid w:val="00167B9E"/>
    <w:rsid w:val="00171035"/>
    <w:rsid w:val="0017194B"/>
    <w:rsid w:val="00172586"/>
    <w:rsid w:val="001738A0"/>
    <w:rsid w:val="0017480E"/>
    <w:rsid w:val="001771ED"/>
    <w:rsid w:val="001776CA"/>
    <w:rsid w:val="00184692"/>
    <w:rsid w:val="00186552"/>
    <w:rsid w:val="0018725A"/>
    <w:rsid w:val="00187420"/>
    <w:rsid w:val="001879AB"/>
    <w:rsid w:val="00191476"/>
    <w:rsid w:val="00191993"/>
    <w:rsid w:val="00192AD1"/>
    <w:rsid w:val="00193697"/>
    <w:rsid w:val="00195DF5"/>
    <w:rsid w:val="001B1825"/>
    <w:rsid w:val="001B1DB5"/>
    <w:rsid w:val="001B7861"/>
    <w:rsid w:val="001C03AF"/>
    <w:rsid w:val="001C045C"/>
    <w:rsid w:val="001C20A8"/>
    <w:rsid w:val="001C2C83"/>
    <w:rsid w:val="001C7C41"/>
    <w:rsid w:val="001D13C3"/>
    <w:rsid w:val="001D23F5"/>
    <w:rsid w:val="001D39CE"/>
    <w:rsid w:val="001D78B5"/>
    <w:rsid w:val="001E0C58"/>
    <w:rsid w:val="001E70C0"/>
    <w:rsid w:val="001F0323"/>
    <w:rsid w:val="001F10DE"/>
    <w:rsid w:val="001F268A"/>
    <w:rsid w:val="001F5DFA"/>
    <w:rsid w:val="001F6CB7"/>
    <w:rsid w:val="00201C45"/>
    <w:rsid w:val="00214764"/>
    <w:rsid w:val="00214911"/>
    <w:rsid w:val="00221FED"/>
    <w:rsid w:val="002234C8"/>
    <w:rsid w:val="002248A5"/>
    <w:rsid w:val="00225A7F"/>
    <w:rsid w:val="00226CD2"/>
    <w:rsid w:val="0023389F"/>
    <w:rsid w:val="002340AE"/>
    <w:rsid w:val="002348D2"/>
    <w:rsid w:val="002366F6"/>
    <w:rsid w:val="00240800"/>
    <w:rsid w:val="002412F8"/>
    <w:rsid w:val="00241FDB"/>
    <w:rsid w:val="00246CF5"/>
    <w:rsid w:val="002472E2"/>
    <w:rsid w:val="002505E5"/>
    <w:rsid w:val="00251CA8"/>
    <w:rsid w:val="002525DE"/>
    <w:rsid w:val="00252C59"/>
    <w:rsid w:val="00253D0B"/>
    <w:rsid w:val="00261820"/>
    <w:rsid w:val="00262509"/>
    <w:rsid w:val="00264117"/>
    <w:rsid w:val="0026422C"/>
    <w:rsid w:val="00264352"/>
    <w:rsid w:val="00267C7D"/>
    <w:rsid w:val="002705E1"/>
    <w:rsid w:val="002707E3"/>
    <w:rsid w:val="002708BD"/>
    <w:rsid w:val="00271016"/>
    <w:rsid w:val="00271E8B"/>
    <w:rsid w:val="00273B35"/>
    <w:rsid w:val="002744B4"/>
    <w:rsid w:val="00274DD3"/>
    <w:rsid w:val="002775EC"/>
    <w:rsid w:val="00277D0B"/>
    <w:rsid w:val="00280802"/>
    <w:rsid w:val="002834F5"/>
    <w:rsid w:val="002836D0"/>
    <w:rsid w:val="00286A22"/>
    <w:rsid w:val="00287568"/>
    <w:rsid w:val="002902D5"/>
    <w:rsid w:val="00292ED2"/>
    <w:rsid w:val="00293ABF"/>
    <w:rsid w:val="00297367"/>
    <w:rsid w:val="002A0ECD"/>
    <w:rsid w:val="002A33A1"/>
    <w:rsid w:val="002A349C"/>
    <w:rsid w:val="002A39FC"/>
    <w:rsid w:val="002A4088"/>
    <w:rsid w:val="002A4871"/>
    <w:rsid w:val="002A68B4"/>
    <w:rsid w:val="002B5D83"/>
    <w:rsid w:val="002B628A"/>
    <w:rsid w:val="002C651C"/>
    <w:rsid w:val="002C7E04"/>
    <w:rsid w:val="002D218A"/>
    <w:rsid w:val="002D3E60"/>
    <w:rsid w:val="002D57A9"/>
    <w:rsid w:val="002D735B"/>
    <w:rsid w:val="002E1240"/>
    <w:rsid w:val="002E194D"/>
    <w:rsid w:val="002E1E71"/>
    <w:rsid w:val="002E6904"/>
    <w:rsid w:val="002E6DCE"/>
    <w:rsid w:val="002F0451"/>
    <w:rsid w:val="002F086B"/>
    <w:rsid w:val="002F1C0B"/>
    <w:rsid w:val="002F3275"/>
    <w:rsid w:val="002F3F26"/>
    <w:rsid w:val="003008F7"/>
    <w:rsid w:val="003037C6"/>
    <w:rsid w:val="003041A8"/>
    <w:rsid w:val="0030455F"/>
    <w:rsid w:val="003065FB"/>
    <w:rsid w:val="00307BEE"/>
    <w:rsid w:val="00314463"/>
    <w:rsid w:val="00315CF2"/>
    <w:rsid w:val="0032204F"/>
    <w:rsid w:val="00322911"/>
    <w:rsid w:val="00325436"/>
    <w:rsid w:val="0032604A"/>
    <w:rsid w:val="00326474"/>
    <w:rsid w:val="00327B87"/>
    <w:rsid w:val="00333651"/>
    <w:rsid w:val="00334F30"/>
    <w:rsid w:val="00337A19"/>
    <w:rsid w:val="00337BA7"/>
    <w:rsid w:val="00341100"/>
    <w:rsid w:val="003412E4"/>
    <w:rsid w:val="0035006A"/>
    <w:rsid w:val="00353DCF"/>
    <w:rsid w:val="0035545B"/>
    <w:rsid w:val="0035708E"/>
    <w:rsid w:val="003613C0"/>
    <w:rsid w:val="0036239E"/>
    <w:rsid w:val="0036629E"/>
    <w:rsid w:val="00374DFA"/>
    <w:rsid w:val="00375F51"/>
    <w:rsid w:val="003770B4"/>
    <w:rsid w:val="003770C9"/>
    <w:rsid w:val="00380691"/>
    <w:rsid w:val="00380770"/>
    <w:rsid w:val="003817C3"/>
    <w:rsid w:val="003817E5"/>
    <w:rsid w:val="00382087"/>
    <w:rsid w:val="0038306D"/>
    <w:rsid w:val="00383096"/>
    <w:rsid w:val="003831DA"/>
    <w:rsid w:val="0038422C"/>
    <w:rsid w:val="0038590F"/>
    <w:rsid w:val="003866CF"/>
    <w:rsid w:val="00386AB3"/>
    <w:rsid w:val="003871A9"/>
    <w:rsid w:val="00391450"/>
    <w:rsid w:val="00391A05"/>
    <w:rsid w:val="00393709"/>
    <w:rsid w:val="00395ABF"/>
    <w:rsid w:val="003A0A45"/>
    <w:rsid w:val="003A46CD"/>
    <w:rsid w:val="003A4B22"/>
    <w:rsid w:val="003B724C"/>
    <w:rsid w:val="003C1F23"/>
    <w:rsid w:val="003C3B82"/>
    <w:rsid w:val="003C3FF7"/>
    <w:rsid w:val="003C5317"/>
    <w:rsid w:val="003C6ACC"/>
    <w:rsid w:val="003D1EE0"/>
    <w:rsid w:val="003D67BF"/>
    <w:rsid w:val="003E13C0"/>
    <w:rsid w:val="003E16C6"/>
    <w:rsid w:val="003E1CDB"/>
    <w:rsid w:val="003E2FBA"/>
    <w:rsid w:val="003E380C"/>
    <w:rsid w:val="003E3AC8"/>
    <w:rsid w:val="003E441C"/>
    <w:rsid w:val="003E7320"/>
    <w:rsid w:val="003E73BA"/>
    <w:rsid w:val="003F0D50"/>
    <w:rsid w:val="003F12FA"/>
    <w:rsid w:val="003F18D6"/>
    <w:rsid w:val="003F4E95"/>
    <w:rsid w:val="003F724F"/>
    <w:rsid w:val="00400F19"/>
    <w:rsid w:val="00405FA5"/>
    <w:rsid w:val="004101C7"/>
    <w:rsid w:val="00413F8D"/>
    <w:rsid w:val="00416FED"/>
    <w:rsid w:val="00417191"/>
    <w:rsid w:val="00421C52"/>
    <w:rsid w:val="00424E82"/>
    <w:rsid w:val="00427AF4"/>
    <w:rsid w:val="00431EE5"/>
    <w:rsid w:val="00435088"/>
    <w:rsid w:val="0043650C"/>
    <w:rsid w:val="0043653E"/>
    <w:rsid w:val="00440215"/>
    <w:rsid w:val="00440BA9"/>
    <w:rsid w:val="00445BB0"/>
    <w:rsid w:val="00450FA3"/>
    <w:rsid w:val="004537EF"/>
    <w:rsid w:val="00453C9D"/>
    <w:rsid w:val="00457A67"/>
    <w:rsid w:val="00461284"/>
    <w:rsid w:val="00461875"/>
    <w:rsid w:val="0046346E"/>
    <w:rsid w:val="00464ED7"/>
    <w:rsid w:val="0046549A"/>
    <w:rsid w:val="00465BB0"/>
    <w:rsid w:val="00465BC8"/>
    <w:rsid w:val="004661E4"/>
    <w:rsid w:val="00470CAD"/>
    <w:rsid w:val="004712A4"/>
    <w:rsid w:val="004722F2"/>
    <w:rsid w:val="0047242C"/>
    <w:rsid w:val="0047396D"/>
    <w:rsid w:val="00476B04"/>
    <w:rsid w:val="00476C3E"/>
    <w:rsid w:val="004772DB"/>
    <w:rsid w:val="0048017B"/>
    <w:rsid w:val="00482001"/>
    <w:rsid w:val="00482D9B"/>
    <w:rsid w:val="00482FBD"/>
    <w:rsid w:val="00484C94"/>
    <w:rsid w:val="00485F38"/>
    <w:rsid w:val="004863C9"/>
    <w:rsid w:val="0048712B"/>
    <w:rsid w:val="0049181D"/>
    <w:rsid w:val="00491B55"/>
    <w:rsid w:val="00491D37"/>
    <w:rsid w:val="004924C6"/>
    <w:rsid w:val="00493EAB"/>
    <w:rsid w:val="004953EE"/>
    <w:rsid w:val="004A021A"/>
    <w:rsid w:val="004A17CF"/>
    <w:rsid w:val="004A4E18"/>
    <w:rsid w:val="004A5596"/>
    <w:rsid w:val="004A58E0"/>
    <w:rsid w:val="004B0999"/>
    <w:rsid w:val="004B149F"/>
    <w:rsid w:val="004B15A9"/>
    <w:rsid w:val="004B1B56"/>
    <w:rsid w:val="004B242E"/>
    <w:rsid w:val="004B353E"/>
    <w:rsid w:val="004B36F7"/>
    <w:rsid w:val="004C217E"/>
    <w:rsid w:val="004C3229"/>
    <w:rsid w:val="004C6082"/>
    <w:rsid w:val="004C6677"/>
    <w:rsid w:val="004C69E6"/>
    <w:rsid w:val="004C6A73"/>
    <w:rsid w:val="004D5BD2"/>
    <w:rsid w:val="004E132F"/>
    <w:rsid w:val="004E1B49"/>
    <w:rsid w:val="004E3D9A"/>
    <w:rsid w:val="004E444F"/>
    <w:rsid w:val="004E6397"/>
    <w:rsid w:val="004E689F"/>
    <w:rsid w:val="004E68B5"/>
    <w:rsid w:val="004F0272"/>
    <w:rsid w:val="004F0DDC"/>
    <w:rsid w:val="004F0ECB"/>
    <w:rsid w:val="004F35EE"/>
    <w:rsid w:val="004F5804"/>
    <w:rsid w:val="004F7377"/>
    <w:rsid w:val="0050258D"/>
    <w:rsid w:val="00502B0D"/>
    <w:rsid w:val="00503968"/>
    <w:rsid w:val="0051238D"/>
    <w:rsid w:val="005127B5"/>
    <w:rsid w:val="00513948"/>
    <w:rsid w:val="005160F8"/>
    <w:rsid w:val="0051679A"/>
    <w:rsid w:val="0051693D"/>
    <w:rsid w:val="00517B15"/>
    <w:rsid w:val="00521805"/>
    <w:rsid w:val="00521F46"/>
    <w:rsid w:val="00523083"/>
    <w:rsid w:val="00530AB2"/>
    <w:rsid w:val="00531970"/>
    <w:rsid w:val="00532098"/>
    <w:rsid w:val="00532E89"/>
    <w:rsid w:val="00543451"/>
    <w:rsid w:val="00545F03"/>
    <w:rsid w:val="00546455"/>
    <w:rsid w:val="00546A3C"/>
    <w:rsid w:val="00546A53"/>
    <w:rsid w:val="005531DE"/>
    <w:rsid w:val="00554BA6"/>
    <w:rsid w:val="00556CDC"/>
    <w:rsid w:val="00557AF9"/>
    <w:rsid w:val="0056177C"/>
    <w:rsid w:val="00561B17"/>
    <w:rsid w:val="0056261C"/>
    <w:rsid w:val="005643E1"/>
    <w:rsid w:val="0056446B"/>
    <w:rsid w:val="0056479F"/>
    <w:rsid w:val="00571AFE"/>
    <w:rsid w:val="0057211D"/>
    <w:rsid w:val="005732FC"/>
    <w:rsid w:val="00573739"/>
    <w:rsid w:val="005754B5"/>
    <w:rsid w:val="00577FB2"/>
    <w:rsid w:val="00584E28"/>
    <w:rsid w:val="00586739"/>
    <w:rsid w:val="00587BA3"/>
    <w:rsid w:val="00590B92"/>
    <w:rsid w:val="005920AA"/>
    <w:rsid w:val="00592494"/>
    <w:rsid w:val="00592FAF"/>
    <w:rsid w:val="00594D0A"/>
    <w:rsid w:val="00595900"/>
    <w:rsid w:val="005A284D"/>
    <w:rsid w:val="005A4F67"/>
    <w:rsid w:val="005A7800"/>
    <w:rsid w:val="005B0922"/>
    <w:rsid w:val="005B5840"/>
    <w:rsid w:val="005B6EB8"/>
    <w:rsid w:val="005C204B"/>
    <w:rsid w:val="005C43C4"/>
    <w:rsid w:val="005D1D33"/>
    <w:rsid w:val="005D1D4B"/>
    <w:rsid w:val="005D271E"/>
    <w:rsid w:val="005D2832"/>
    <w:rsid w:val="005D2B3E"/>
    <w:rsid w:val="005D3977"/>
    <w:rsid w:val="005D4C30"/>
    <w:rsid w:val="005D55B7"/>
    <w:rsid w:val="005D5ED5"/>
    <w:rsid w:val="005D6935"/>
    <w:rsid w:val="005E0AB3"/>
    <w:rsid w:val="005E1902"/>
    <w:rsid w:val="005E1C1D"/>
    <w:rsid w:val="005E338D"/>
    <w:rsid w:val="005E34D7"/>
    <w:rsid w:val="005E51D2"/>
    <w:rsid w:val="005E5624"/>
    <w:rsid w:val="005E590F"/>
    <w:rsid w:val="005E6EE3"/>
    <w:rsid w:val="005E7E97"/>
    <w:rsid w:val="005F053F"/>
    <w:rsid w:val="005F2A16"/>
    <w:rsid w:val="005F398F"/>
    <w:rsid w:val="005F49BD"/>
    <w:rsid w:val="00605538"/>
    <w:rsid w:val="00606375"/>
    <w:rsid w:val="00606760"/>
    <w:rsid w:val="00606B82"/>
    <w:rsid w:val="00606D2B"/>
    <w:rsid w:val="00606F04"/>
    <w:rsid w:val="00611673"/>
    <w:rsid w:val="00614AE7"/>
    <w:rsid w:val="0062190B"/>
    <w:rsid w:val="0062260B"/>
    <w:rsid w:val="006277D9"/>
    <w:rsid w:val="0063102F"/>
    <w:rsid w:val="0063141E"/>
    <w:rsid w:val="00632B4F"/>
    <w:rsid w:val="006331EB"/>
    <w:rsid w:val="00633C3E"/>
    <w:rsid w:val="0063620F"/>
    <w:rsid w:val="0063646F"/>
    <w:rsid w:val="006367B4"/>
    <w:rsid w:val="00636EA2"/>
    <w:rsid w:val="00640D65"/>
    <w:rsid w:val="00641A53"/>
    <w:rsid w:val="00642081"/>
    <w:rsid w:val="006433E5"/>
    <w:rsid w:val="00643577"/>
    <w:rsid w:val="00644727"/>
    <w:rsid w:val="00644CE4"/>
    <w:rsid w:val="0064716D"/>
    <w:rsid w:val="006476C0"/>
    <w:rsid w:val="00652840"/>
    <w:rsid w:val="00652B8A"/>
    <w:rsid w:val="006532C2"/>
    <w:rsid w:val="00653DBC"/>
    <w:rsid w:val="00654FC1"/>
    <w:rsid w:val="00660F68"/>
    <w:rsid w:val="006633EA"/>
    <w:rsid w:val="00664FD3"/>
    <w:rsid w:val="0066583B"/>
    <w:rsid w:val="00670D6E"/>
    <w:rsid w:val="00671ECD"/>
    <w:rsid w:val="00672F3C"/>
    <w:rsid w:val="00673A87"/>
    <w:rsid w:val="00677947"/>
    <w:rsid w:val="00681752"/>
    <w:rsid w:val="006835D6"/>
    <w:rsid w:val="00685626"/>
    <w:rsid w:val="0068602F"/>
    <w:rsid w:val="00690214"/>
    <w:rsid w:val="0069250D"/>
    <w:rsid w:val="00696502"/>
    <w:rsid w:val="0069658F"/>
    <w:rsid w:val="006A3C73"/>
    <w:rsid w:val="006A4B03"/>
    <w:rsid w:val="006A627F"/>
    <w:rsid w:val="006A6A6D"/>
    <w:rsid w:val="006A703F"/>
    <w:rsid w:val="006B063F"/>
    <w:rsid w:val="006B2CEE"/>
    <w:rsid w:val="006B473B"/>
    <w:rsid w:val="006B6B2F"/>
    <w:rsid w:val="006C6E7E"/>
    <w:rsid w:val="006D1E5C"/>
    <w:rsid w:val="006D2A3B"/>
    <w:rsid w:val="006D4537"/>
    <w:rsid w:val="006D71BB"/>
    <w:rsid w:val="006D77B0"/>
    <w:rsid w:val="006E3EEB"/>
    <w:rsid w:val="006E7487"/>
    <w:rsid w:val="006F0FFF"/>
    <w:rsid w:val="006F6DF0"/>
    <w:rsid w:val="00700E5C"/>
    <w:rsid w:val="00700F45"/>
    <w:rsid w:val="00702DDC"/>
    <w:rsid w:val="007048DE"/>
    <w:rsid w:val="00710126"/>
    <w:rsid w:val="00710152"/>
    <w:rsid w:val="00713523"/>
    <w:rsid w:val="007169A2"/>
    <w:rsid w:val="00717563"/>
    <w:rsid w:val="007210D5"/>
    <w:rsid w:val="007216BB"/>
    <w:rsid w:val="00723470"/>
    <w:rsid w:val="00725432"/>
    <w:rsid w:val="007261C2"/>
    <w:rsid w:val="00727B22"/>
    <w:rsid w:val="00727FEA"/>
    <w:rsid w:val="00730A7D"/>
    <w:rsid w:val="007312E9"/>
    <w:rsid w:val="0073241C"/>
    <w:rsid w:val="00733C47"/>
    <w:rsid w:val="00734869"/>
    <w:rsid w:val="00737CE0"/>
    <w:rsid w:val="007435FE"/>
    <w:rsid w:val="00745434"/>
    <w:rsid w:val="0075029D"/>
    <w:rsid w:val="00750B2D"/>
    <w:rsid w:val="00755AFC"/>
    <w:rsid w:val="00756259"/>
    <w:rsid w:val="00761CCF"/>
    <w:rsid w:val="0076365B"/>
    <w:rsid w:val="007637F0"/>
    <w:rsid w:val="0076448E"/>
    <w:rsid w:val="00764827"/>
    <w:rsid w:val="00766A8F"/>
    <w:rsid w:val="007701D9"/>
    <w:rsid w:val="00775102"/>
    <w:rsid w:val="00780807"/>
    <w:rsid w:val="00782A1A"/>
    <w:rsid w:val="0078600C"/>
    <w:rsid w:val="007862D9"/>
    <w:rsid w:val="0078664E"/>
    <w:rsid w:val="007907A3"/>
    <w:rsid w:val="00790E1F"/>
    <w:rsid w:val="007917EE"/>
    <w:rsid w:val="007924AC"/>
    <w:rsid w:val="007A0FFF"/>
    <w:rsid w:val="007A169B"/>
    <w:rsid w:val="007A34DA"/>
    <w:rsid w:val="007A3B8A"/>
    <w:rsid w:val="007A5641"/>
    <w:rsid w:val="007B2946"/>
    <w:rsid w:val="007B3C0E"/>
    <w:rsid w:val="007C1B4F"/>
    <w:rsid w:val="007C358A"/>
    <w:rsid w:val="007D013B"/>
    <w:rsid w:val="007D0940"/>
    <w:rsid w:val="007D114E"/>
    <w:rsid w:val="007D1728"/>
    <w:rsid w:val="007D279E"/>
    <w:rsid w:val="007D3ECA"/>
    <w:rsid w:val="007D5310"/>
    <w:rsid w:val="007D537B"/>
    <w:rsid w:val="007D5719"/>
    <w:rsid w:val="007E0D65"/>
    <w:rsid w:val="007E135F"/>
    <w:rsid w:val="007E1E4B"/>
    <w:rsid w:val="007E3311"/>
    <w:rsid w:val="007E67C7"/>
    <w:rsid w:val="007E793C"/>
    <w:rsid w:val="007E7DED"/>
    <w:rsid w:val="007F03B9"/>
    <w:rsid w:val="007F03C5"/>
    <w:rsid w:val="007F0588"/>
    <w:rsid w:val="007F0C18"/>
    <w:rsid w:val="008000A7"/>
    <w:rsid w:val="008010DC"/>
    <w:rsid w:val="00801885"/>
    <w:rsid w:val="00802269"/>
    <w:rsid w:val="00802460"/>
    <w:rsid w:val="0080284D"/>
    <w:rsid w:val="00804483"/>
    <w:rsid w:val="008052B2"/>
    <w:rsid w:val="00806666"/>
    <w:rsid w:val="008114CA"/>
    <w:rsid w:val="00811DB5"/>
    <w:rsid w:val="00811DD5"/>
    <w:rsid w:val="00812695"/>
    <w:rsid w:val="00812972"/>
    <w:rsid w:val="0081671C"/>
    <w:rsid w:val="00816CEB"/>
    <w:rsid w:val="0081728D"/>
    <w:rsid w:val="00824448"/>
    <w:rsid w:val="00827105"/>
    <w:rsid w:val="00831162"/>
    <w:rsid w:val="00831FE6"/>
    <w:rsid w:val="008338F4"/>
    <w:rsid w:val="008349EA"/>
    <w:rsid w:val="00834CEE"/>
    <w:rsid w:val="00835514"/>
    <w:rsid w:val="00836AEA"/>
    <w:rsid w:val="00837A17"/>
    <w:rsid w:val="00837B62"/>
    <w:rsid w:val="0084343A"/>
    <w:rsid w:val="00850833"/>
    <w:rsid w:val="00850F8C"/>
    <w:rsid w:val="00851E2A"/>
    <w:rsid w:val="00853F6D"/>
    <w:rsid w:val="008564E8"/>
    <w:rsid w:val="0086238C"/>
    <w:rsid w:val="00863496"/>
    <w:rsid w:val="008635E6"/>
    <w:rsid w:val="00863B63"/>
    <w:rsid w:val="00866CE5"/>
    <w:rsid w:val="008701B2"/>
    <w:rsid w:val="0087079C"/>
    <w:rsid w:val="00874C8E"/>
    <w:rsid w:val="008756D7"/>
    <w:rsid w:val="0087733E"/>
    <w:rsid w:val="008818B9"/>
    <w:rsid w:val="00882111"/>
    <w:rsid w:val="00887B2B"/>
    <w:rsid w:val="00892C03"/>
    <w:rsid w:val="0089349A"/>
    <w:rsid w:val="008975F0"/>
    <w:rsid w:val="0089761B"/>
    <w:rsid w:val="00897D45"/>
    <w:rsid w:val="008A233F"/>
    <w:rsid w:val="008A2B96"/>
    <w:rsid w:val="008A3E9B"/>
    <w:rsid w:val="008A70E1"/>
    <w:rsid w:val="008B2AA5"/>
    <w:rsid w:val="008B3706"/>
    <w:rsid w:val="008B4B77"/>
    <w:rsid w:val="008B7282"/>
    <w:rsid w:val="008C3E59"/>
    <w:rsid w:val="008C4611"/>
    <w:rsid w:val="008C510E"/>
    <w:rsid w:val="008C589C"/>
    <w:rsid w:val="008C6C03"/>
    <w:rsid w:val="008C7A3B"/>
    <w:rsid w:val="008D1D86"/>
    <w:rsid w:val="008D4F12"/>
    <w:rsid w:val="008E057C"/>
    <w:rsid w:val="008E2103"/>
    <w:rsid w:val="008E2418"/>
    <w:rsid w:val="008E300E"/>
    <w:rsid w:val="008E35BA"/>
    <w:rsid w:val="008E56E2"/>
    <w:rsid w:val="008E60BA"/>
    <w:rsid w:val="008E712A"/>
    <w:rsid w:val="008F035E"/>
    <w:rsid w:val="008F0675"/>
    <w:rsid w:val="008F1C4A"/>
    <w:rsid w:val="008F3BF5"/>
    <w:rsid w:val="008F4899"/>
    <w:rsid w:val="008F51C8"/>
    <w:rsid w:val="008F52C2"/>
    <w:rsid w:val="009008DF"/>
    <w:rsid w:val="009020FD"/>
    <w:rsid w:val="0090239B"/>
    <w:rsid w:val="009055F2"/>
    <w:rsid w:val="00905751"/>
    <w:rsid w:val="00907389"/>
    <w:rsid w:val="0091089D"/>
    <w:rsid w:val="00911356"/>
    <w:rsid w:val="009113C4"/>
    <w:rsid w:val="00915A6C"/>
    <w:rsid w:val="00917410"/>
    <w:rsid w:val="0092140F"/>
    <w:rsid w:val="00921B85"/>
    <w:rsid w:val="00921C5C"/>
    <w:rsid w:val="009220D8"/>
    <w:rsid w:val="009221D0"/>
    <w:rsid w:val="0092371C"/>
    <w:rsid w:val="00923722"/>
    <w:rsid w:val="00926594"/>
    <w:rsid w:val="00927940"/>
    <w:rsid w:val="00930683"/>
    <w:rsid w:val="009308D8"/>
    <w:rsid w:val="0093094D"/>
    <w:rsid w:val="00930FDA"/>
    <w:rsid w:val="0093554B"/>
    <w:rsid w:val="0094024E"/>
    <w:rsid w:val="00940727"/>
    <w:rsid w:val="0094172B"/>
    <w:rsid w:val="009418B1"/>
    <w:rsid w:val="00942765"/>
    <w:rsid w:val="00943820"/>
    <w:rsid w:val="009442F4"/>
    <w:rsid w:val="00944937"/>
    <w:rsid w:val="0094507A"/>
    <w:rsid w:val="00945E4C"/>
    <w:rsid w:val="009469E7"/>
    <w:rsid w:val="00950BE7"/>
    <w:rsid w:val="009529DE"/>
    <w:rsid w:val="009530EB"/>
    <w:rsid w:val="00954488"/>
    <w:rsid w:val="00960A95"/>
    <w:rsid w:val="00962312"/>
    <w:rsid w:val="00962B5F"/>
    <w:rsid w:val="00964041"/>
    <w:rsid w:val="009652EC"/>
    <w:rsid w:val="00971257"/>
    <w:rsid w:val="009815A7"/>
    <w:rsid w:val="00982583"/>
    <w:rsid w:val="00984458"/>
    <w:rsid w:val="0098459F"/>
    <w:rsid w:val="0098572F"/>
    <w:rsid w:val="00986BB1"/>
    <w:rsid w:val="0099016A"/>
    <w:rsid w:val="00991A60"/>
    <w:rsid w:val="009920A2"/>
    <w:rsid w:val="00995524"/>
    <w:rsid w:val="00995958"/>
    <w:rsid w:val="0099628F"/>
    <w:rsid w:val="0099765E"/>
    <w:rsid w:val="00997A01"/>
    <w:rsid w:val="009A091C"/>
    <w:rsid w:val="009A1B51"/>
    <w:rsid w:val="009A2EA2"/>
    <w:rsid w:val="009A3047"/>
    <w:rsid w:val="009A449A"/>
    <w:rsid w:val="009A6F87"/>
    <w:rsid w:val="009B00AC"/>
    <w:rsid w:val="009B2DFC"/>
    <w:rsid w:val="009B4535"/>
    <w:rsid w:val="009B71A2"/>
    <w:rsid w:val="009B78C9"/>
    <w:rsid w:val="009B7AE7"/>
    <w:rsid w:val="009C0278"/>
    <w:rsid w:val="009C198F"/>
    <w:rsid w:val="009C400F"/>
    <w:rsid w:val="009C528F"/>
    <w:rsid w:val="009C5AD2"/>
    <w:rsid w:val="009C6DE9"/>
    <w:rsid w:val="009D1C68"/>
    <w:rsid w:val="009D3D37"/>
    <w:rsid w:val="009D4611"/>
    <w:rsid w:val="009D4857"/>
    <w:rsid w:val="009D7044"/>
    <w:rsid w:val="009E0067"/>
    <w:rsid w:val="009E00EA"/>
    <w:rsid w:val="009E21DE"/>
    <w:rsid w:val="009E4EAC"/>
    <w:rsid w:val="009E55C6"/>
    <w:rsid w:val="009E687B"/>
    <w:rsid w:val="009E73CB"/>
    <w:rsid w:val="009F19A8"/>
    <w:rsid w:val="009F2930"/>
    <w:rsid w:val="009F6EEC"/>
    <w:rsid w:val="00A027F5"/>
    <w:rsid w:val="00A076EF"/>
    <w:rsid w:val="00A101E6"/>
    <w:rsid w:val="00A1082E"/>
    <w:rsid w:val="00A12309"/>
    <w:rsid w:val="00A12A2C"/>
    <w:rsid w:val="00A14852"/>
    <w:rsid w:val="00A16884"/>
    <w:rsid w:val="00A16AD9"/>
    <w:rsid w:val="00A20367"/>
    <w:rsid w:val="00A219D7"/>
    <w:rsid w:val="00A21A5F"/>
    <w:rsid w:val="00A24066"/>
    <w:rsid w:val="00A26E1A"/>
    <w:rsid w:val="00A30D10"/>
    <w:rsid w:val="00A331C9"/>
    <w:rsid w:val="00A344F2"/>
    <w:rsid w:val="00A345D3"/>
    <w:rsid w:val="00A34DBC"/>
    <w:rsid w:val="00A352EA"/>
    <w:rsid w:val="00A400DA"/>
    <w:rsid w:val="00A41A80"/>
    <w:rsid w:val="00A4290E"/>
    <w:rsid w:val="00A45460"/>
    <w:rsid w:val="00A45763"/>
    <w:rsid w:val="00A45A40"/>
    <w:rsid w:val="00A4735C"/>
    <w:rsid w:val="00A477A7"/>
    <w:rsid w:val="00A50EE9"/>
    <w:rsid w:val="00A50F74"/>
    <w:rsid w:val="00A53DF4"/>
    <w:rsid w:val="00A56DE0"/>
    <w:rsid w:val="00A57E05"/>
    <w:rsid w:val="00A6163E"/>
    <w:rsid w:val="00A61F85"/>
    <w:rsid w:val="00A72823"/>
    <w:rsid w:val="00A73139"/>
    <w:rsid w:val="00A73405"/>
    <w:rsid w:val="00A73CC7"/>
    <w:rsid w:val="00A75A27"/>
    <w:rsid w:val="00A8026C"/>
    <w:rsid w:val="00A81826"/>
    <w:rsid w:val="00A844DE"/>
    <w:rsid w:val="00A859F4"/>
    <w:rsid w:val="00A86420"/>
    <w:rsid w:val="00A93ADA"/>
    <w:rsid w:val="00A9650E"/>
    <w:rsid w:val="00A971AE"/>
    <w:rsid w:val="00A973D5"/>
    <w:rsid w:val="00AA360A"/>
    <w:rsid w:val="00AA4DEF"/>
    <w:rsid w:val="00AB28A7"/>
    <w:rsid w:val="00AC21A0"/>
    <w:rsid w:val="00AC28EC"/>
    <w:rsid w:val="00AC3738"/>
    <w:rsid w:val="00AC3771"/>
    <w:rsid w:val="00AC4354"/>
    <w:rsid w:val="00AC481A"/>
    <w:rsid w:val="00AC73D2"/>
    <w:rsid w:val="00AD279D"/>
    <w:rsid w:val="00AD4956"/>
    <w:rsid w:val="00AD5998"/>
    <w:rsid w:val="00AD77E9"/>
    <w:rsid w:val="00AE08C8"/>
    <w:rsid w:val="00AE1FB3"/>
    <w:rsid w:val="00AE22A6"/>
    <w:rsid w:val="00AE4288"/>
    <w:rsid w:val="00AE7D71"/>
    <w:rsid w:val="00AF3179"/>
    <w:rsid w:val="00AF4B28"/>
    <w:rsid w:val="00AF7C61"/>
    <w:rsid w:val="00B0147A"/>
    <w:rsid w:val="00B0621C"/>
    <w:rsid w:val="00B10517"/>
    <w:rsid w:val="00B10B74"/>
    <w:rsid w:val="00B1183D"/>
    <w:rsid w:val="00B13487"/>
    <w:rsid w:val="00B2013A"/>
    <w:rsid w:val="00B223B5"/>
    <w:rsid w:val="00B23722"/>
    <w:rsid w:val="00B24D60"/>
    <w:rsid w:val="00B34522"/>
    <w:rsid w:val="00B352D2"/>
    <w:rsid w:val="00B372A2"/>
    <w:rsid w:val="00B43FE5"/>
    <w:rsid w:val="00B452C2"/>
    <w:rsid w:val="00B45DF1"/>
    <w:rsid w:val="00B50251"/>
    <w:rsid w:val="00B5209D"/>
    <w:rsid w:val="00B5385E"/>
    <w:rsid w:val="00B62310"/>
    <w:rsid w:val="00B63C10"/>
    <w:rsid w:val="00B63D16"/>
    <w:rsid w:val="00B64B5E"/>
    <w:rsid w:val="00B64E69"/>
    <w:rsid w:val="00B71168"/>
    <w:rsid w:val="00B71847"/>
    <w:rsid w:val="00B71D06"/>
    <w:rsid w:val="00B73054"/>
    <w:rsid w:val="00B75DFB"/>
    <w:rsid w:val="00B765B9"/>
    <w:rsid w:val="00B77441"/>
    <w:rsid w:val="00B77F27"/>
    <w:rsid w:val="00B8188B"/>
    <w:rsid w:val="00B838B8"/>
    <w:rsid w:val="00B862FB"/>
    <w:rsid w:val="00B865A3"/>
    <w:rsid w:val="00B91E48"/>
    <w:rsid w:val="00B9251B"/>
    <w:rsid w:val="00B92CF6"/>
    <w:rsid w:val="00B93988"/>
    <w:rsid w:val="00B95087"/>
    <w:rsid w:val="00B95379"/>
    <w:rsid w:val="00B9740A"/>
    <w:rsid w:val="00BA2A5E"/>
    <w:rsid w:val="00BA3347"/>
    <w:rsid w:val="00BA584B"/>
    <w:rsid w:val="00BA6090"/>
    <w:rsid w:val="00BB18C2"/>
    <w:rsid w:val="00BB278C"/>
    <w:rsid w:val="00BB3345"/>
    <w:rsid w:val="00BB3684"/>
    <w:rsid w:val="00BB3B99"/>
    <w:rsid w:val="00BB69E2"/>
    <w:rsid w:val="00BB709D"/>
    <w:rsid w:val="00BB7C62"/>
    <w:rsid w:val="00BC02EC"/>
    <w:rsid w:val="00BC3AE1"/>
    <w:rsid w:val="00BC7B4E"/>
    <w:rsid w:val="00BD091F"/>
    <w:rsid w:val="00BD47D5"/>
    <w:rsid w:val="00BD5367"/>
    <w:rsid w:val="00BD612E"/>
    <w:rsid w:val="00BD6AAE"/>
    <w:rsid w:val="00BD7C27"/>
    <w:rsid w:val="00BE1864"/>
    <w:rsid w:val="00BE5C1F"/>
    <w:rsid w:val="00BF1723"/>
    <w:rsid w:val="00BF3D2C"/>
    <w:rsid w:val="00BF47F2"/>
    <w:rsid w:val="00BF4C59"/>
    <w:rsid w:val="00BF5084"/>
    <w:rsid w:val="00BF681E"/>
    <w:rsid w:val="00BF69A4"/>
    <w:rsid w:val="00C00134"/>
    <w:rsid w:val="00C0317D"/>
    <w:rsid w:val="00C04AE8"/>
    <w:rsid w:val="00C05277"/>
    <w:rsid w:val="00C110B9"/>
    <w:rsid w:val="00C118A2"/>
    <w:rsid w:val="00C130EB"/>
    <w:rsid w:val="00C13180"/>
    <w:rsid w:val="00C133F0"/>
    <w:rsid w:val="00C136BA"/>
    <w:rsid w:val="00C15648"/>
    <w:rsid w:val="00C15914"/>
    <w:rsid w:val="00C17183"/>
    <w:rsid w:val="00C20116"/>
    <w:rsid w:val="00C2240F"/>
    <w:rsid w:val="00C23087"/>
    <w:rsid w:val="00C236F9"/>
    <w:rsid w:val="00C309E7"/>
    <w:rsid w:val="00C30EC1"/>
    <w:rsid w:val="00C32D35"/>
    <w:rsid w:val="00C33D2A"/>
    <w:rsid w:val="00C34988"/>
    <w:rsid w:val="00C360B1"/>
    <w:rsid w:val="00C369BE"/>
    <w:rsid w:val="00C42300"/>
    <w:rsid w:val="00C43105"/>
    <w:rsid w:val="00C43845"/>
    <w:rsid w:val="00C44789"/>
    <w:rsid w:val="00C447C7"/>
    <w:rsid w:val="00C44F1B"/>
    <w:rsid w:val="00C51D43"/>
    <w:rsid w:val="00C520BC"/>
    <w:rsid w:val="00C54678"/>
    <w:rsid w:val="00C6291E"/>
    <w:rsid w:val="00C6350E"/>
    <w:rsid w:val="00C6585D"/>
    <w:rsid w:val="00C667DE"/>
    <w:rsid w:val="00C66955"/>
    <w:rsid w:val="00C66CFB"/>
    <w:rsid w:val="00C6711D"/>
    <w:rsid w:val="00C71585"/>
    <w:rsid w:val="00C7207D"/>
    <w:rsid w:val="00C727FB"/>
    <w:rsid w:val="00C72F38"/>
    <w:rsid w:val="00C74A14"/>
    <w:rsid w:val="00C77E85"/>
    <w:rsid w:val="00C807BA"/>
    <w:rsid w:val="00C80BB6"/>
    <w:rsid w:val="00C812C7"/>
    <w:rsid w:val="00C81B29"/>
    <w:rsid w:val="00C824F5"/>
    <w:rsid w:val="00C82904"/>
    <w:rsid w:val="00C86739"/>
    <w:rsid w:val="00C87B49"/>
    <w:rsid w:val="00C87D23"/>
    <w:rsid w:val="00C94249"/>
    <w:rsid w:val="00C9563D"/>
    <w:rsid w:val="00CA1914"/>
    <w:rsid w:val="00CA2648"/>
    <w:rsid w:val="00CA3008"/>
    <w:rsid w:val="00CA409A"/>
    <w:rsid w:val="00CA460A"/>
    <w:rsid w:val="00CA65C1"/>
    <w:rsid w:val="00CB1736"/>
    <w:rsid w:val="00CB2DC6"/>
    <w:rsid w:val="00CB49BE"/>
    <w:rsid w:val="00CB5A8D"/>
    <w:rsid w:val="00CB5D7A"/>
    <w:rsid w:val="00CB5EF9"/>
    <w:rsid w:val="00CB786E"/>
    <w:rsid w:val="00CC01FC"/>
    <w:rsid w:val="00CC1C41"/>
    <w:rsid w:val="00CC3C94"/>
    <w:rsid w:val="00CC3DDA"/>
    <w:rsid w:val="00CC4C4F"/>
    <w:rsid w:val="00CC5EA6"/>
    <w:rsid w:val="00CC7C0F"/>
    <w:rsid w:val="00CD218A"/>
    <w:rsid w:val="00CD2D63"/>
    <w:rsid w:val="00CD3330"/>
    <w:rsid w:val="00CD4195"/>
    <w:rsid w:val="00CD41FD"/>
    <w:rsid w:val="00CE0F13"/>
    <w:rsid w:val="00CE1CF0"/>
    <w:rsid w:val="00CE4809"/>
    <w:rsid w:val="00CE483E"/>
    <w:rsid w:val="00CE5926"/>
    <w:rsid w:val="00CE6820"/>
    <w:rsid w:val="00CE6F97"/>
    <w:rsid w:val="00CE7100"/>
    <w:rsid w:val="00CF0053"/>
    <w:rsid w:val="00CF1F2F"/>
    <w:rsid w:val="00CF29D6"/>
    <w:rsid w:val="00CF2D72"/>
    <w:rsid w:val="00CF3AAC"/>
    <w:rsid w:val="00CF3E50"/>
    <w:rsid w:val="00CF4881"/>
    <w:rsid w:val="00CF496B"/>
    <w:rsid w:val="00CF6888"/>
    <w:rsid w:val="00CF7E79"/>
    <w:rsid w:val="00D002AC"/>
    <w:rsid w:val="00D01ABD"/>
    <w:rsid w:val="00D06A29"/>
    <w:rsid w:val="00D120DB"/>
    <w:rsid w:val="00D14B41"/>
    <w:rsid w:val="00D16C74"/>
    <w:rsid w:val="00D1740C"/>
    <w:rsid w:val="00D2283A"/>
    <w:rsid w:val="00D22A64"/>
    <w:rsid w:val="00D249BE"/>
    <w:rsid w:val="00D300B8"/>
    <w:rsid w:val="00D32149"/>
    <w:rsid w:val="00D378F5"/>
    <w:rsid w:val="00D40486"/>
    <w:rsid w:val="00D42077"/>
    <w:rsid w:val="00D42D02"/>
    <w:rsid w:val="00D503FB"/>
    <w:rsid w:val="00D50658"/>
    <w:rsid w:val="00D52C60"/>
    <w:rsid w:val="00D55A15"/>
    <w:rsid w:val="00D56EEF"/>
    <w:rsid w:val="00D62591"/>
    <w:rsid w:val="00D62964"/>
    <w:rsid w:val="00D62BE4"/>
    <w:rsid w:val="00D62FED"/>
    <w:rsid w:val="00D67D67"/>
    <w:rsid w:val="00D70E91"/>
    <w:rsid w:val="00D7170B"/>
    <w:rsid w:val="00D72AB3"/>
    <w:rsid w:val="00D7496E"/>
    <w:rsid w:val="00D76A5D"/>
    <w:rsid w:val="00D81B08"/>
    <w:rsid w:val="00D90DDA"/>
    <w:rsid w:val="00D919BC"/>
    <w:rsid w:val="00DA514C"/>
    <w:rsid w:val="00DB7178"/>
    <w:rsid w:val="00DC013F"/>
    <w:rsid w:val="00DC21D0"/>
    <w:rsid w:val="00DC4762"/>
    <w:rsid w:val="00DC4FE6"/>
    <w:rsid w:val="00DC5279"/>
    <w:rsid w:val="00DC7FBD"/>
    <w:rsid w:val="00DD0AE4"/>
    <w:rsid w:val="00DD0C56"/>
    <w:rsid w:val="00DD0F97"/>
    <w:rsid w:val="00DD16C4"/>
    <w:rsid w:val="00DD4BF3"/>
    <w:rsid w:val="00DD54AF"/>
    <w:rsid w:val="00DD5D6F"/>
    <w:rsid w:val="00DE03E7"/>
    <w:rsid w:val="00DE05D6"/>
    <w:rsid w:val="00DE093F"/>
    <w:rsid w:val="00DE0DEC"/>
    <w:rsid w:val="00DE4D0A"/>
    <w:rsid w:val="00DF3EF7"/>
    <w:rsid w:val="00DF3F3A"/>
    <w:rsid w:val="00E021E5"/>
    <w:rsid w:val="00E023B7"/>
    <w:rsid w:val="00E03083"/>
    <w:rsid w:val="00E05B6E"/>
    <w:rsid w:val="00E07FE2"/>
    <w:rsid w:val="00E10477"/>
    <w:rsid w:val="00E1273E"/>
    <w:rsid w:val="00E13350"/>
    <w:rsid w:val="00E13998"/>
    <w:rsid w:val="00E14257"/>
    <w:rsid w:val="00E144C6"/>
    <w:rsid w:val="00E14DA2"/>
    <w:rsid w:val="00E14E8A"/>
    <w:rsid w:val="00E24D6A"/>
    <w:rsid w:val="00E27BAF"/>
    <w:rsid w:val="00E27E55"/>
    <w:rsid w:val="00E3362C"/>
    <w:rsid w:val="00E33764"/>
    <w:rsid w:val="00E33F64"/>
    <w:rsid w:val="00E35442"/>
    <w:rsid w:val="00E35D41"/>
    <w:rsid w:val="00E36948"/>
    <w:rsid w:val="00E36D12"/>
    <w:rsid w:val="00E401B9"/>
    <w:rsid w:val="00E4162E"/>
    <w:rsid w:val="00E463D1"/>
    <w:rsid w:val="00E46F4E"/>
    <w:rsid w:val="00E47558"/>
    <w:rsid w:val="00E52465"/>
    <w:rsid w:val="00E55248"/>
    <w:rsid w:val="00E56EFE"/>
    <w:rsid w:val="00E57F3A"/>
    <w:rsid w:val="00E628BB"/>
    <w:rsid w:val="00E63F29"/>
    <w:rsid w:val="00E64651"/>
    <w:rsid w:val="00E64E5E"/>
    <w:rsid w:val="00E6581B"/>
    <w:rsid w:val="00E65BB5"/>
    <w:rsid w:val="00E724EA"/>
    <w:rsid w:val="00E74290"/>
    <w:rsid w:val="00E750A3"/>
    <w:rsid w:val="00E75BEB"/>
    <w:rsid w:val="00E8151E"/>
    <w:rsid w:val="00E81807"/>
    <w:rsid w:val="00E81F7F"/>
    <w:rsid w:val="00E836BB"/>
    <w:rsid w:val="00E85E30"/>
    <w:rsid w:val="00E86CAF"/>
    <w:rsid w:val="00E876BB"/>
    <w:rsid w:val="00E87978"/>
    <w:rsid w:val="00E9072B"/>
    <w:rsid w:val="00E90D1D"/>
    <w:rsid w:val="00E917C2"/>
    <w:rsid w:val="00E9285D"/>
    <w:rsid w:val="00E92E0D"/>
    <w:rsid w:val="00E943F9"/>
    <w:rsid w:val="00E94F37"/>
    <w:rsid w:val="00E95E70"/>
    <w:rsid w:val="00E96430"/>
    <w:rsid w:val="00EA0B45"/>
    <w:rsid w:val="00EA108F"/>
    <w:rsid w:val="00EA26B8"/>
    <w:rsid w:val="00EA27E2"/>
    <w:rsid w:val="00EA2BBF"/>
    <w:rsid w:val="00EA3C69"/>
    <w:rsid w:val="00EA550E"/>
    <w:rsid w:val="00EA6F34"/>
    <w:rsid w:val="00EA788C"/>
    <w:rsid w:val="00EB496C"/>
    <w:rsid w:val="00EB5AB8"/>
    <w:rsid w:val="00EB64DF"/>
    <w:rsid w:val="00EB7456"/>
    <w:rsid w:val="00EC004D"/>
    <w:rsid w:val="00EC1590"/>
    <w:rsid w:val="00EC2C0B"/>
    <w:rsid w:val="00EC2E2E"/>
    <w:rsid w:val="00EC508D"/>
    <w:rsid w:val="00EC588C"/>
    <w:rsid w:val="00EC6D9C"/>
    <w:rsid w:val="00EC6EC8"/>
    <w:rsid w:val="00EC6F3F"/>
    <w:rsid w:val="00ED0093"/>
    <w:rsid w:val="00ED1E88"/>
    <w:rsid w:val="00ED4DC8"/>
    <w:rsid w:val="00ED6163"/>
    <w:rsid w:val="00ED6455"/>
    <w:rsid w:val="00EE0039"/>
    <w:rsid w:val="00EE127F"/>
    <w:rsid w:val="00EE1D63"/>
    <w:rsid w:val="00EE1E54"/>
    <w:rsid w:val="00EE1FFD"/>
    <w:rsid w:val="00EE463E"/>
    <w:rsid w:val="00EE4C82"/>
    <w:rsid w:val="00EE5838"/>
    <w:rsid w:val="00EE5855"/>
    <w:rsid w:val="00EE75C6"/>
    <w:rsid w:val="00EF06EF"/>
    <w:rsid w:val="00EF2E66"/>
    <w:rsid w:val="00EF379F"/>
    <w:rsid w:val="00EF470E"/>
    <w:rsid w:val="00EF671E"/>
    <w:rsid w:val="00EF6ECA"/>
    <w:rsid w:val="00F029AF"/>
    <w:rsid w:val="00F02C0F"/>
    <w:rsid w:val="00F05082"/>
    <w:rsid w:val="00F05338"/>
    <w:rsid w:val="00F0767F"/>
    <w:rsid w:val="00F13885"/>
    <w:rsid w:val="00F14209"/>
    <w:rsid w:val="00F1432F"/>
    <w:rsid w:val="00F17F07"/>
    <w:rsid w:val="00F2090B"/>
    <w:rsid w:val="00F23576"/>
    <w:rsid w:val="00F278E6"/>
    <w:rsid w:val="00F332C5"/>
    <w:rsid w:val="00F425F8"/>
    <w:rsid w:val="00F4378C"/>
    <w:rsid w:val="00F45479"/>
    <w:rsid w:val="00F455EF"/>
    <w:rsid w:val="00F45C8A"/>
    <w:rsid w:val="00F4631F"/>
    <w:rsid w:val="00F53E97"/>
    <w:rsid w:val="00F543C4"/>
    <w:rsid w:val="00F54C30"/>
    <w:rsid w:val="00F567A8"/>
    <w:rsid w:val="00F66054"/>
    <w:rsid w:val="00F66872"/>
    <w:rsid w:val="00F66FA2"/>
    <w:rsid w:val="00F67386"/>
    <w:rsid w:val="00F674B6"/>
    <w:rsid w:val="00F70E9D"/>
    <w:rsid w:val="00F719D0"/>
    <w:rsid w:val="00F740DE"/>
    <w:rsid w:val="00F74DF6"/>
    <w:rsid w:val="00F750CD"/>
    <w:rsid w:val="00F81200"/>
    <w:rsid w:val="00F81386"/>
    <w:rsid w:val="00F86706"/>
    <w:rsid w:val="00F90EC2"/>
    <w:rsid w:val="00F910D7"/>
    <w:rsid w:val="00F91F8B"/>
    <w:rsid w:val="00F923D7"/>
    <w:rsid w:val="00F9283D"/>
    <w:rsid w:val="00F92D7A"/>
    <w:rsid w:val="00F962CB"/>
    <w:rsid w:val="00F96E85"/>
    <w:rsid w:val="00FA1B6C"/>
    <w:rsid w:val="00FA4E90"/>
    <w:rsid w:val="00FA5845"/>
    <w:rsid w:val="00FA6A67"/>
    <w:rsid w:val="00FA6EBD"/>
    <w:rsid w:val="00FB0BCF"/>
    <w:rsid w:val="00FB1555"/>
    <w:rsid w:val="00FB178D"/>
    <w:rsid w:val="00FB1FA1"/>
    <w:rsid w:val="00FB2256"/>
    <w:rsid w:val="00FB28EE"/>
    <w:rsid w:val="00FB2992"/>
    <w:rsid w:val="00FB7A74"/>
    <w:rsid w:val="00FC0535"/>
    <w:rsid w:val="00FC19FE"/>
    <w:rsid w:val="00FC1D4F"/>
    <w:rsid w:val="00FC2D8F"/>
    <w:rsid w:val="00FC4005"/>
    <w:rsid w:val="00FC43E4"/>
    <w:rsid w:val="00FC5826"/>
    <w:rsid w:val="00FC6C09"/>
    <w:rsid w:val="00FD1EE4"/>
    <w:rsid w:val="00FD2F93"/>
    <w:rsid w:val="00FD3776"/>
    <w:rsid w:val="00FD3CE6"/>
    <w:rsid w:val="00FD4812"/>
    <w:rsid w:val="00FD591F"/>
    <w:rsid w:val="00FD798F"/>
    <w:rsid w:val="00FD7BCC"/>
    <w:rsid w:val="00FE1F7F"/>
    <w:rsid w:val="00FE3C0A"/>
    <w:rsid w:val="00FE55A5"/>
    <w:rsid w:val="00FE6617"/>
    <w:rsid w:val="00FE745A"/>
    <w:rsid w:val="00FF01E9"/>
    <w:rsid w:val="00FF0D84"/>
    <w:rsid w:val="00FF1C97"/>
    <w:rsid w:val="00FF2849"/>
    <w:rsid w:val="00FF63C2"/>
    <w:rsid w:val="00FF6A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3CEA9"/>
  <w15:chartTrackingRefBased/>
  <w15:docId w15:val="{8ABE5ED8-2E1E-4D76-A896-26A57C7A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55"/>
  </w:style>
  <w:style w:type="paragraph" w:styleId="Ttulo1">
    <w:name w:val="heading 1"/>
    <w:basedOn w:val="Normal"/>
    <w:next w:val="Normal"/>
    <w:link w:val="Ttulo1Car"/>
    <w:uiPriority w:val="9"/>
    <w:qFormat/>
    <w:rsid w:val="009F19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F19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053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3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3347"/>
  </w:style>
  <w:style w:type="paragraph" w:styleId="Piedepgina">
    <w:name w:val="footer"/>
    <w:basedOn w:val="Normal"/>
    <w:link w:val="PiedepginaCar"/>
    <w:uiPriority w:val="99"/>
    <w:unhideWhenUsed/>
    <w:rsid w:val="00BA33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3347"/>
  </w:style>
  <w:style w:type="paragraph" w:styleId="Prrafodelista">
    <w:name w:val="List Paragraph"/>
    <w:basedOn w:val="Normal"/>
    <w:uiPriority w:val="34"/>
    <w:qFormat/>
    <w:rsid w:val="00BA3347"/>
    <w:pPr>
      <w:ind w:left="720"/>
      <w:contextualSpacing/>
    </w:pPr>
  </w:style>
  <w:style w:type="table" w:styleId="Tablaconcuadrcula">
    <w:name w:val="Table Grid"/>
    <w:basedOn w:val="Tablanormal"/>
    <w:uiPriority w:val="39"/>
    <w:rsid w:val="009F1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F19A8"/>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F19A8"/>
    <w:pPr>
      <w:outlineLvl w:val="9"/>
    </w:pPr>
    <w:rPr>
      <w:kern w:val="0"/>
      <w:lang w:eastAsia="es-MX"/>
      <w14:ligatures w14:val="none"/>
    </w:rPr>
  </w:style>
  <w:style w:type="character" w:customStyle="1" w:styleId="Ttulo2Car">
    <w:name w:val="Título 2 Car"/>
    <w:basedOn w:val="Fuentedeprrafopredeter"/>
    <w:link w:val="Ttulo2"/>
    <w:uiPriority w:val="9"/>
    <w:rsid w:val="009F19A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F05338"/>
    <w:rPr>
      <w:rFonts w:asciiTheme="majorHAnsi" w:eastAsiaTheme="majorEastAsia" w:hAnsiTheme="majorHAnsi" w:cstheme="majorBidi"/>
      <w:color w:val="1F3763" w:themeColor="accent1" w:themeShade="7F"/>
      <w:sz w:val="24"/>
      <w:szCs w:val="24"/>
    </w:rPr>
  </w:style>
  <w:style w:type="paragraph" w:customStyle="1" w:styleId="Texto">
    <w:name w:val="Texto"/>
    <w:basedOn w:val="Normal"/>
    <w:link w:val="TextoCar"/>
    <w:rsid w:val="00C447C7"/>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locked/>
    <w:rsid w:val="00C447C7"/>
    <w:rPr>
      <w:rFonts w:ascii="Arial" w:eastAsia="Times New Roman" w:hAnsi="Arial" w:cs="Arial"/>
      <w:kern w:val="0"/>
      <w:sz w:val="18"/>
      <w:szCs w:val="20"/>
      <w:lang w:val="es-ES" w:eastAsia="es-ES"/>
      <w14:ligatures w14:val="none"/>
    </w:rPr>
  </w:style>
  <w:style w:type="paragraph" w:styleId="Textonotapie">
    <w:name w:val="footnote text"/>
    <w:basedOn w:val="Normal"/>
    <w:link w:val="TextonotapieCar"/>
    <w:rsid w:val="00C447C7"/>
    <w:pPr>
      <w:spacing w:after="0" w:line="240" w:lineRule="auto"/>
    </w:pPr>
    <w:rPr>
      <w:rFonts w:ascii="Verdana" w:eastAsia="Times New Roman" w:hAnsi="Verdana" w:cs="Times New Roman"/>
      <w:kern w:val="0"/>
      <w:sz w:val="20"/>
      <w:szCs w:val="20"/>
      <w:lang w:val="es-ES" w:eastAsia="x-none"/>
      <w14:ligatures w14:val="none"/>
    </w:rPr>
  </w:style>
  <w:style w:type="character" w:customStyle="1" w:styleId="TextonotapieCar">
    <w:name w:val="Texto nota pie Car"/>
    <w:basedOn w:val="Fuentedeprrafopredeter"/>
    <w:link w:val="Textonotapie"/>
    <w:rsid w:val="00C447C7"/>
    <w:rPr>
      <w:rFonts w:ascii="Verdana" w:eastAsia="Times New Roman" w:hAnsi="Verdana" w:cs="Times New Roman"/>
      <w:kern w:val="0"/>
      <w:sz w:val="20"/>
      <w:szCs w:val="20"/>
      <w:lang w:val="es-ES" w:eastAsia="x-none"/>
      <w14:ligatures w14:val="none"/>
    </w:rPr>
  </w:style>
  <w:style w:type="character" w:styleId="Refdenotaalpie">
    <w:name w:val="footnote reference"/>
    <w:rsid w:val="00C447C7"/>
    <w:rPr>
      <w:vertAlign w:val="superscript"/>
    </w:rPr>
  </w:style>
  <w:style w:type="paragraph" w:customStyle="1" w:styleId="Default">
    <w:name w:val="Default"/>
    <w:rsid w:val="00B92CF6"/>
    <w:pPr>
      <w:autoSpaceDE w:val="0"/>
      <w:autoSpaceDN w:val="0"/>
      <w:adjustRightInd w:val="0"/>
      <w:spacing w:after="0" w:line="240" w:lineRule="auto"/>
    </w:pPr>
    <w:rPr>
      <w:rFonts w:ascii="Lato" w:hAnsi="Lato" w:cs="Lato"/>
      <w:color w:val="000000"/>
      <w:kern w:val="0"/>
      <w:sz w:val="24"/>
      <w:szCs w:val="24"/>
    </w:rPr>
  </w:style>
  <w:style w:type="character" w:styleId="Refdecomentario">
    <w:name w:val="annotation reference"/>
    <w:basedOn w:val="Fuentedeprrafopredeter"/>
    <w:uiPriority w:val="99"/>
    <w:semiHidden/>
    <w:unhideWhenUsed/>
    <w:rsid w:val="00DE03E7"/>
    <w:rPr>
      <w:sz w:val="16"/>
      <w:szCs w:val="16"/>
    </w:rPr>
  </w:style>
  <w:style w:type="paragraph" w:styleId="Textocomentario">
    <w:name w:val="annotation text"/>
    <w:basedOn w:val="Normal"/>
    <w:link w:val="TextocomentarioCar"/>
    <w:uiPriority w:val="99"/>
    <w:semiHidden/>
    <w:unhideWhenUsed/>
    <w:rsid w:val="00DE03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03E7"/>
    <w:rPr>
      <w:sz w:val="20"/>
      <w:szCs w:val="20"/>
    </w:rPr>
  </w:style>
  <w:style w:type="paragraph" w:styleId="Asuntodelcomentario">
    <w:name w:val="annotation subject"/>
    <w:basedOn w:val="Textocomentario"/>
    <w:next w:val="Textocomentario"/>
    <w:link w:val="AsuntodelcomentarioCar"/>
    <w:uiPriority w:val="99"/>
    <w:semiHidden/>
    <w:unhideWhenUsed/>
    <w:rsid w:val="00DE03E7"/>
    <w:rPr>
      <w:b/>
      <w:bCs/>
    </w:rPr>
  </w:style>
  <w:style w:type="character" w:customStyle="1" w:styleId="AsuntodelcomentarioCar">
    <w:name w:val="Asunto del comentario Car"/>
    <w:basedOn w:val="TextocomentarioCar"/>
    <w:link w:val="Asuntodelcomentario"/>
    <w:uiPriority w:val="99"/>
    <w:semiHidden/>
    <w:rsid w:val="00DE03E7"/>
    <w:rPr>
      <w:b/>
      <w:bCs/>
      <w:sz w:val="20"/>
      <w:szCs w:val="20"/>
    </w:rPr>
  </w:style>
  <w:style w:type="paragraph" w:styleId="Sinespaciado">
    <w:name w:val="No Spacing"/>
    <w:uiPriority w:val="1"/>
    <w:qFormat/>
    <w:rsid w:val="008A3E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194">
      <w:bodyDiv w:val="1"/>
      <w:marLeft w:val="0"/>
      <w:marRight w:val="0"/>
      <w:marTop w:val="0"/>
      <w:marBottom w:val="0"/>
      <w:divBdr>
        <w:top w:val="none" w:sz="0" w:space="0" w:color="auto"/>
        <w:left w:val="none" w:sz="0" w:space="0" w:color="auto"/>
        <w:bottom w:val="none" w:sz="0" w:space="0" w:color="auto"/>
        <w:right w:val="none" w:sz="0" w:space="0" w:color="auto"/>
      </w:divBdr>
    </w:div>
    <w:div w:id="10569206">
      <w:bodyDiv w:val="1"/>
      <w:marLeft w:val="0"/>
      <w:marRight w:val="0"/>
      <w:marTop w:val="0"/>
      <w:marBottom w:val="0"/>
      <w:divBdr>
        <w:top w:val="none" w:sz="0" w:space="0" w:color="auto"/>
        <w:left w:val="none" w:sz="0" w:space="0" w:color="auto"/>
        <w:bottom w:val="none" w:sz="0" w:space="0" w:color="auto"/>
        <w:right w:val="none" w:sz="0" w:space="0" w:color="auto"/>
      </w:divBdr>
    </w:div>
    <w:div w:id="17170967">
      <w:bodyDiv w:val="1"/>
      <w:marLeft w:val="0"/>
      <w:marRight w:val="0"/>
      <w:marTop w:val="0"/>
      <w:marBottom w:val="0"/>
      <w:divBdr>
        <w:top w:val="none" w:sz="0" w:space="0" w:color="auto"/>
        <w:left w:val="none" w:sz="0" w:space="0" w:color="auto"/>
        <w:bottom w:val="none" w:sz="0" w:space="0" w:color="auto"/>
        <w:right w:val="none" w:sz="0" w:space="0" w:color="auto"/>
      </w:divBdr>
    </w:div>
    <w:div w:id="20010418">
      <w:bodyDiv w:val="1"/>
      <w:marLeft w:val="0"/>
      <w:marRight w:val="0"/>
      <w:marTop w:val="0"/>
      <w:marBottom w:val="0"/>
      <w:divBdr>
        <w:top w:val="none" w:sz="0" w:space="0" w:color="auto"/>
        <w:left w:val="none" w:sz="0" w:space="0" w:color="auto"/>
        <w:bottom w:val="none" w:sz="0" w:space="0" w:color="auto"/>
        <w:right w:val="none" w:sz="0" w:space="0" w:color="auto"/>
      </w:divBdr>
    </w:div>
    <w:div w:id="23216921">
      <w:bodyDiv w:val="1"/>
      <w:marLeft w:val="0"/>
      <w:marRight w:val="0"/>
      <w:marTop w:val="0"/>
      <w:marBottom w:val="0"/>
      <w:divBdr>
        <w:top w:val="none" w:sz="0" w:space="0" w:color="auto"/>
        <w:left w:val="none" w:sz="0" w:space="0" w:color="auto"/>
        <w:bottom w:val="none" w:sz="0" w:space="0" w:color="auto"/>
        <w:right w:val="none" w:sz="0" w:space="0" w:color="auto"/>
      </w:divBdr>
    </w:div>
    <w:div w:id="24327739">
      <w:bodyDiv w:val="1"/>
      <w:marLeft w:val="0"/>
      <w:marRight w:val="0"/>
      <w:marTop w:val="0"/>
      <w:marBottom w:val="0"/>
      <w:divBdr>
        <w:top w:val="none" w:sz="0" w:space="0" w:color="auto"/>
        <w:left w:val="none" w:sz="0" w:space="0" w:color="auto"/>
        <w:bottom w:val="none" w:sz="0" w:space="0" w:color="auto"/>
        <w:right w:val="none" w:sz="0" w:space="0" w:color="auto"/>
      </w:divBdr>
    </w:div>
    <w:div w:id="28530213">
      <w:bodyDiv w:val="1"/>
      <w:marLeft w:val="0"/>
      <w:marRight w:val="0"/>
      <w:marTop w:val="0"/>
      <w:marBottom w:val="0"/>
      <w:divBdr>
        <w:top w:val="none" w:sz="0" w:space="0" w:color="auto"/>
        <w:left w:val="none" w:sz="0" w:space="0" w:color="auto"/>
        <w:bottom w:val="none" w:sz="0" w:space="0" w:color="auto"/>
        <w:right w:val="none" w:sz="0" w:space="0" w:color="auto"/>
      </w:divBdr>
    </w:div>
    <w:div w:id="38436278">
      <w:bodyDiv w:val="1"/>
      <w:marLeft w:val="0"/>
      <w:marRight w:val="0"/>
      <w:marTop w:val="0"/>
      <w:marBottom w:val="0"/>
      <w:divBdr>
        <w:top w:val="none" w:sz="0" w:space="0" w:color="auto"/>
        <w:left w:val="none" w:sz="0" w:space="0" w:color="auto"/>
        <w:bottom w:val="none" w:sz="0" w:space="0" w:color="auto"/>
        <w:right w:val="none" w:sz="0" w:space="0" w:color="auto"/>
      </w:divBdr>
    </w:div>
    <w:div w:id="44986920">
      <w:bodyDiv w:val="1"/>
      <w:marLeft w:val="0"/>
      <w:marRight w:val="0"/>
      <w:marTop w:val="0"/>
      <w:marBottom w:val="0"/>
      <w:divBdr>
        <w:top w:val="none" w:sz="0" w:space="0" w:color="auto"/>
        <w:left w:val="none" w:sz="0" w:space="0" w:color="auto"/>
        <w:bottom w:val="none" w:sz="0" w:space="0" w:color="auto"/>
        <w:right w:val="none" w:sz="0" w:space="0" w:color="auto"/>
      </w:divBdr>
    </w:div>
    <w:div w:id="47460892">
      <w:bodyDiv w:val="1"/>
      <w:marLeft w:val="0"/>
      <w:marRight w:val="0"/>
      <w:marTop w:val="0"/>
      <w:marBottom w:val="0"/>
      <w:divBdr>
        <w:top w:val="none" w:sz="0" w:space="0" w:color="auto"/>
        <w:left w:val="none" w:sz="0" w:space="0" w:color="auto"/>
        <w:bottom w:val="none" w:sz="0" w:space="0" w:color="auto"/>
        <w:right w:val="none" w:sz="0" w:space="0" w:color="auto"/>
      </w:divBdr>
    </w:div>
    <w:div w:id="67188428">
      <w:bodyDiv w:val="1"/>
      <w:marLeft w:val="0"/>
      <w:marRight w:val="0"/>
      <w:marTop w:val="0"/>
      <w:marBottom w:val="0"/>
      <w:divBdr>
        <w:top w:val="none" w:sz="0" w:space="0" w:color="auto"/>
        <w:left w:val="none" w:sz="0" w:space="0" w:color="auto"/>
        <w:bottom w:val="none" w:sz="0" w:space="0" w:color="auto"/>
        <w:right w:val="none" w:sz="0" w:space="0" w:color="auto"/>
      </w:divBdr>
    </w:div>
    <w:div w:id="67458316">
      <w:bodyDiv w:val="1"/>
      <w:marLeft w:val="0"/>
      <w:marRight w:val="0"/>
      <w:marTop w:val="0"/>
      <w:marBottom w:val="0"/>
      <w:divBdr>
        <w:top w:val="none" w:sz="0" w:space="0" w:color="auto"/>
        <w:left w:val="none" w:sz="0" w:space="0" w:color="auto"/>
        <w:bottom w:val="none" w:sz="0" w:space="0" w:color="auto"/>
        <w:right w:val="none" w:sz="0" w:space="0" w:color="auto"/>
      </w:divBdr>
    </w:div>
    <w:div w:id="103381150">
      <w:bodyDiv w:val="1"/>
      <w:marLeft w:val="0"/>
      <w:marRight w:val="0"/>
      <w:marTop w:val="0"/>
      <w:marBottom w:val="0"/>
      <w:divBdr>
        <w:top w:val="none" w:sz="0" w:space="0" w:color="auto"/>
        <w:left w:val="none" w:sz="0" w:space="0" w:color="auto"/>
        <w:bottom w:val="none" w:sz="0" w:space="0" w:color="auto"/>
        <w:right w:val="none" w:sz="0" w:space="0" w:color="auto"/>
      </w:divBdr>
    </w:div>
    <w:div w:id="109400348">
      <w:bodyDiv w:val="1"/>
      <w:marLeft w:val="0"/>
      <w:marRight w:val="0"/>
      <w:marTop w:val="0"/>
      <w:marBottom w:val="0"/>
      <w:divBdr>
        <w:top w:val="none" w:sz="0" w:space="0" w:color="auto"/>
        <w:left w:val="none" w:sz="0" w:space="0" w:color="auto"/>
        <w:bottom w:val="none" w:sz="0" w:space="0" w:color="auto"/>
        <w:right w:val="none" w:sz="0" w:space="0" w:color="auto"/>
      </w:divBdr>
    </w:div>
    <w:div w:id="118762495">
      <w:bodyDiv w:val="1"/>
      <w:marLeft w:val="0"/>
      <w:marRight w:val="0"/>
      <w:marTop w:val="0"/>
      <w:marBottom w:val="0"/>
      <w:divBdr>
        <w:top w:val="none" w:sz="0" w:space="0" w:color="auto"/>
        <w:left w:val="none" w:sz="0" w:space="0" w:color="auto"/>
        <w:bottom w:val="none" w:sz="0" w:space="0" w:color="auto"/>
        <w:right w:val="none" w:sz="0" w:space="0" w:color="auto"/>
      </w:divBdr>
    </w:div>
    <w:div w:id="120420668">
      <w:bodyDiv w:val="1"/>
      <w:marLeft w:val="0"/>
      <w:marRight w:val="0"/>
      <w:marTop w:val="0"/>
      <w:marBottom w:val="0"/>
      <w:divBdr>
        <w:top w:val="none" w:sz="0" w:space="0" w:color="auto"/>
        <w:left w:val="none" w:sz="0" w:space="0" w:color="auto"/>
        <w:bottom w:val="none" w:sz="0" w:space="0" w:color="auto"/>
        <w:right w:val="none" w:sz="0" w:space="0" w:color="auto"/>
      </w:divBdr>
    </w:div>
    <w:div w:id="122117382">
      <w:bodyDiv w:val="1"/>
      <w:marLeft w:val="0"/>
      <w:marRight w:val="0"/>
      <w:marTop w:val="0"/>
      <w:marBottom w:val="0"/>
      <w:divBdr>
        <w:top w:val="none" w:sz="0" w:space="0" w:color="auto"/>
        <w:left w:val="none" w:sz="0" w:space="0" w:color="auto"/>
        <w:bottom w:val="none" w:sz="0" w:space="0" w:color="auto"/>
        <w:right w:val="none" w:sz="0" w:space="0" w:color="auto"/>
      </w:divBdr>
    </w:div>
    <w:div w:id="136579314">
      <w:bodyDiv w:val="1"/>
      <w:marLeft w:val="0"/>
      <w:marRight w:val="0"/>
      <w:marTop w:val="0"/>
      <w:marBottom w:val="0"/>
      <w:divBdr>
        <w:top w:val="none" w:sz="0" w:space="0" w:color="auto"/>
        <w:left w:val="none" w:sz="0" w:space="0" w:color="auto"/>
        <w:bottom w:val="none" w:sz="0" w:space="0" w:color="auto"/>
        <w:right w:val="none" w:sz="0" w:space="0" w:color="auto"/>
      </w:divBdr>
    </w:div>
    <w:div w:id="136731668">
      <w:bodyDiv w:val="1"/>
      <w:marLeft w:val="0"/>
      <w:marRight w:val="0"/>
      <w:marTop w:val="0"/>
      <w:marBottom w:val="0"/>
      <w:divBdr>
        <w:top w:val="none" w:sz="0" w:space="0" w:color="auto"/>
        <w:left w:val="none" w:sz="0" w:space="0" w:color="auto"/>
        <w:bottom w:val="none" w:sz="0" w:space="0" w:color="auto"/>
        <w:right w:val="none" w:sz="0" w:space="0" w:color="auto"/>
      </w:divBdr>
    </w:div>
    <w:div w:id="136803852">
      <w:bodyDiv w:val="1"/>
      <w:marLeft w:val="0"/>
      <w:marRight w:val="0"/>
      <w:marTop w:val="0"/>
      <w:marBottom w:val="0"/>
      <w:divBdr>
        <w:top w:val="none" w:sz="0" w:space="0" w:color="auto"/>
        <w:left w:val="none" w:sz="0" w:space="0" w:color="auto"/>
        <w:bottom w:val="none" w:sz="0" w:space="0" w:color="auto"/>
        <w:right w:val="none" w:sz="0" w:space="0" w:color="auto"/>
      </w:divBdr>
    </w:div>
    <w:div w:id="136993055">
      <w:bodyDiv w:val="1"/>
      <w:marLeft w:val="0"/>
      <w:marRight w:val="0"/>
      <w:marTop w:val="0"/>
      <w:marBottom w:val="0"/>
      <w:divBdr>
        <w:top w:val="none" w:sz="0" w:space="0" w:color="auto"/>
        <w:left w:val="none" w:sz="0" w:space="0" w:color="auto"/>
        <w:bottom w:val="none" w:sz="0" w:space="0" w:color="auto"/>
        <w:right w:val="none" w:sz="0" w:space="0" w:color="auto"/>
      </w:divBdr>
    </w:div>
    <w:div w:id="137311140">
      <w:bodyDiv w:val="1"/>
      <w:marLeft w:val="0"/>
      <w:marRight w:val="0"/>
      <w:marTop w:val="0"/>
      <w:marBottom w:val="0"/>
      <w:divBdr>
        <w:top w:val="none" w:sz="0" w:space="0" w:color="auto"/>
        <w:left w:val="none" w:sz="0" w:space="0" w:color="auto"/>
        <w:bottom w:val="none" w:sz="0" w:space="0" w:color="auto"/>
        <w:right w:val="none" w:sz="0" w:space="0" w:color="auto"/>
      </w:divBdr>
    </w:div>
    <w:div w:id="151143484">
      <w:bodyDiv w:val="1"/>
      <w:marLeft w:val="0"/>
      <w:marRight w:val="0"/>
      <w:marTop w:val="0"/>
      <w:marBottom w:val="0"/>
      <w:divBdr>
        <w:top w:val="none" w:sz="0" w:space="0" w:color="auto"/>
        <w:left w:val="none" w:sz="0" w:space="0" w:color="auto"/>
        <w:bottom w:val="none" w:sz="0" w:space="0" w:color="auto"/>
        <w:right w:val="none" w:sz="0" w:space="0" w:color="auto"/>
      </w:divBdr>
    </w:div>
    <w:div w:id="153451473">
      <w:bodyDiv w:val="1"/>
      <w:marLeft w:val="0"/>
      <w:marRight w:val="0"/>
      <w:marTop w:val="0"/>
      <w:marBottom w:val="0"/>
      <w:divBdr>
        <w:top w:val="none" w:sz="0" w:space="0" w:color="auto"/>
        <w:left w:val="none" w:sz="0" w:space="0" w:color="auto"/>
        <w:bottom w:val="none" w:sz="0" w:space="0" w:color="auto"/>
        <w:right w:val="none" w:sz="0" w:space="0" w:color="auto"/>
      </w:divBdr>
    </w:div>
    <w:div w:id="163058518">
      <w:bodyDiv w:val="1"/>
      <w:marLeft w:val="0"/>
      <w:marRight w:val="0"/>
      <w:marTop w:val="0"/>
      <w:marBottom w:val="0"/>
      <w:divBdr>
        <w:top w:val="none" w:sz="0" w:space="0" w:color="auto"/>
        <w:left w:val="none" w:sz="0" w:space="0" w:color="auto"/>
        <w:bottom w:val="none" w:sz="0" w:space="0" w:color="auto"/>
        <w:right w:val="none" w:sz="0" w:space="0" w:color="auto"/>
      </w:divBdr>
    </w:div>
    <w:div w:id="170996715">
      <w:bodyDiv w:val="1"/>
      <w:marLeft w:val="0"/>
      <w:marRight w:val="0"/>
      <w:marTop w:val="0"/>
      <w:marBottom w:val="0"/>
      <w:divBdr>
        <w:top w:val="none" w:sz="0" w:space="0" w:color="auto"/>
        <w:left w:val="none" w:sz="0" w:space="0" w:color="auto"/>
        <w:bottom w:val="none" w:sz="0" w:space="0" w:color="auto"/>
        <w:right w:val="none" w:sz="0" w:space="0" w:color="auto"/>
      </w:divBdr>
    </w:div>
    <w:div w:id="196358486">
      <w:bodyDiv w:val="1"/>
      <w:marLeft w:val="0"/>
      <w:marRight w:val="0"/>
      <w:marTop w:val="0"/>
      <w:marBottom w:val="0"/>
      <w:divBdr>
        <w:top w:val="none" w:sz="0" w:space="0" w:color="auto"/>
        <w:left w:val="none" w:sz="0" w:space="0" w:color="auto"/>
        <w:bottom w:val="none" w:sz="0" w:space="0" w:color="auto"/>
        <w:right w:val="none" w:sz="0" w:space="0" w:color="auto"/>
      </w:divBdr>
    </w:div>
    <w:div w:id="202644369">
      <w:bodyDiv w:val="1"/>
      <w:marLeft w:val="0"/>
      <w:marRight w:val="0"/>
      <w:marTop w:val="0"/>
      <w:marBottom w:val="0"/>
      <w:divBdr>
        <w:top w:val="none" w:sz="0" w:space="0" w:color="auto"/>
        <w:left w:val="none" w:sz="0" w:space="0" w:color="auto"/>
        <w:bottom w:val="none" w:sz="0" w:space="0" w:color="auto"/>
        <w:right w:val="none" w:sz="0" w:space="0" w:color="auto"/>
      </w:divBdr>
    </w:div>
    <w:div w:id="203904777">
      <w:bodyDiv w:val="1"/>
      <w:marLeft w:val="0"/>
      <w:marRight w:val="0"/>
      <w:marTop w:val="0"/>
      <w:marBottom w:val="0"/>
      <w:divBdr>
        <w:top w:val="none" w:sz="0" w:space="0" w:color="auto"/>
        <w:left w:val="none" w:sz="0" w:space="0" w:color="auto"/>
        <w:bottom w:val="none" w:sz="0" w:space="0" w:color="auto"/>
        <w:right w:val="none" w:sz="0" w:space="0" w:color="auto"/>
      </w:divBdr>
    </w:div>
    <w:div w:id="208226674">
      <w:bodyDiv w:val="1"/>
      <w:marLeft w:val="0"/>
      <w:marRight w:val="0"/>
      <w:marTop w:val="0"/>
      <w:marBottom w:val="0"/>
      <w:divBdr>
        <w:top w:val="none" w:sz="0" w:space="0" w:color="auto"/>
        <w:left w:val="none" w:sz="0" w:space="0" w:color="auto"/>
        <w:bottom w:val="none" w:sz="0" w:space="0" w:color="auto"/>
        <w:right w:val="none" w:sz="0" w:space="0" w:color="auto"/>
      </w:divBdr>
    </w:div>
    <w:div w:id="228687827">
      <w:bodyDiv w:val="1"/>
      <w:marLeft w:val="0"/>
      <w:marRight w:val="0"/>
      <w:marTop w:val="0"/>
      <w:marBottom w:val="0"/>
      <w:divBdr>
        <w:top w:val="none" w:sz="0" w:space="0" w:color="auto"/>
        <w:left w:val="none" w:sz="0" w:space="0" w:color="auto"/>
        <w:bottom w:val="none" w:sz="0" w:space="0" w:color="auto"/>
        <w:right w:val="none" w:sz="0" w:space="0" w:color="auto"/>
      </w:divBdr>
    </w:div>
    <w:div w:id="231233624">
      <w:bodyDiv w:val="1"/>
      <w:marLeft w:val="0"/>
      <w:marRight w:val="0"/>
      <w:marTop w:val="0"/>
      <w:marBottom w:val="0"/>
      <w:divBdr>
        <w:top w:val="none" w:sz="0" w:space="0" w:color="auto"/>
        <w:left w:val="none" w:sz="0" w:space="0" w:color="auto"/>
        <w:bottom w:val="none" w:sz="0" w:space="0" w:color="auto"/>
        <w:right w:val="none" w:sz="0" w:space="0" w:color="auto"/>
      </w:divBdr>
    </w:div>
    <w:div w:id="234558394">
      <w:bodyDiv w:val="1"/>
      <w:marLeft w:val="0"/>
      <w:marRight w:val="0"/>
      <w:marTop w:val="0"/>
      <w:marBottom w:val="0"/>
      <w:divBdr>
        <w:top w:val="none" w:sz="0" w:space="0" w:color="auto"/>
        <w:left w:val="none" w:sz="0" w:space="0" w:color="auto"/>
        <w:bottom w:val="none" w:sz="0" w:space="0" w:color="auto"/>
        <w:right w:val="none" w:sz="0" w:space="0" w:color="auto"/>
      </w:divBdr>
    </w:div>
    <w:div w:id="246155574">
      <w:bodyDiv w:val="1"/>
      <w:marLeft w:val="0"/>
      <w:marRight w:val="0"/>
      <w:marTop w:val="0"/>
      <w:marBottom w:val="0"/>
      <w:divBdr>
        <w:top w:val="none" w:sz="0" w:space="0" w:color="auto"/>
        <w:left w:val="none" w:sz="0" w:space="0" w:color="auto"/>
        <w:bottom w:val="none" w:sz="0" w:space="0" w:color="auto"/>
        <w:right w:val="none" w:sz="0" w:space="0" w:color="auto"/>
      </w:divBdr>
    </w:div>
    <w:div w:id="282812211">
      <w:bodyDiv w:val="1"/>
      <w:marLeft w:val="0"/>
      <w:marRight w:val="0"/>
      <w:marTop w:val="0"/>
      <w:marBottom w:val="0"/>
      <w:divBdr>
        <w:top w:val="none" w:sz="0" w:space="0" w:color="auto"/>
        <w:left w:val="none" w:sz="0" w:space="0" w:color="auto"/>
        <w:bottom w:val="none" w:sz="0" w:space="0" w:color="auto"/>
        <w:right w:val="none" w:sz="0" w:space="0" w:color="auto"/>
      </w:divBdr>
    </w:div>
    <w:div w:id="288974310">
      <w:bodyDiv w:val="1"/>
      <w:marLeft w:val="0"/>
      <w:marRight w:val="0"/>
      <w:marTop w:val="0"/>
      <w:marBottom w:val="0"/>
      <w:divBdr>
        <w:top w:val="none" w:sz="0" w:space="0" w:color="auto"/>
        <w:left w:val="none" w:sz="0" w:space="0" w:color="auto"/>
        <w:bottom w:val="none" w:sz="0" w:space="0" w:color="auto"/>
        <w:right w:val="none" w:sz="0" w:space="0" w:color="auto"/>
      </w:divBdr>
    </w:div>
    <w:div w:id="296450345">
      <w:bodyDiv w:val="1"/>
      <w:marLeft w:val="0"/>
      <w:marRight w:val="0"/>
      <w:marTop w:val="0"/>
      <w:marBottom w:val="0"/>
      <w:divBdr>
        <w:top w:val="none" w:sz="0" w:space="0" w:color="auto"/>
        <w:left w:val="none" w:sz="0" w:space="0" w:color="auto"/>
        <w:bottom w:val="none" w:sz="0" w:space="0" w:color="auto"/>
        <w:right w:val="none" w:sz="0" w:space="0" w:color="auto"/>
      </w:divBdr>
    </w:div>
    <w:div w:id="320622981">
      <w:bodyDiv w:val="1"/>
      <w:marLeft w:val="0"/>
      <w:marRight w:val="0"/>
      <w:marTop w:val="0"/>
      <w:marBottom w:val="0"/>
      <w:divBdr>
        <w:top w:val="none" w:sz="0" w:space="0" w:color="auto"/>
        <w:left w:val="none" w:sz="0" w:space="0" w:color="auto"/>
        <w:bottom w:val="none" w:sz="0" w:space="0" w:color="auto"/>
        <w:right w:val="none" w:sz="0" w:space="0" w:color="auto"/>
      </w:divBdr>
    </w:div>
    <w:div w:id="321858920">
      <w:bodyDiv w:val="1"/>
      <w:marLeft w:val="0"/>
      <w:marRight w:val="0"/>
      <w:marTop w:val="0"/>
      <w:marBottom w:val="0"/>
      <w:divBdr>
        <w:top w:val="none" w:sz="0" w:space="0" w:color="auto"/>
        <w:left w:val="none" w:sz="0" w:space="0" w:color="auto"/>
        <w:bottom w:val="none" w:sz="0" w:space="0" w:color="auto"/>
        <w:right w:val="none" w:sz="0" w:space="0" w:color="auto"/>
      </w:divBdr>
    </w:div>
    <w:div w:id="325598029">
      <w:bodyDiv w:val="1"/>
      <w:marLeft w:val="0"/>
      <w:marRight w:val="0"/>
      <w:marTop w:val="0"/>
      <w:marBottom w:val="0"/>
      <w:divBdr>
        <w:top w:val="none" w:sz="0" w:space="0" w:color="auto"/>
        <w:left w:val="none" w:sz="0" w:space="0" w:color="auto"/>
        <w:bottom w:val="none" w:sz="0" w:space="0" w:color="auto"/>
        <w:right w:val="none" w:sz="0" w:space="0" w:color="auto"/>
      </w:divBdr>
    </w:div>
    <w:div w:id="343242357">
      <w:bodyDiv w:val="1"/>
      <w:marLeft w:val="0"/>
      <w:marRight w:val="0"/>
      <w:marTop w:val="0"/>
      <w:marBottom w:val="0"/>
      <w:divBdr>
        <w:top w:val="none" w:sz="0" w:space="0" w:color="auto"/>
        <w:left w:val="none" w:sz="0" w:space="0" w:color="auto"/>
        <w:bottom w:val="none" w:sz="0" w:space="0" w:color="auto"/>
        <w:right w:val="none" w:sz="0" w:space="0" w:color="auto"/>
      </w:divBdr>
    </w:div>
    <w:div w:id="343629116">
      <w:bodyDiv w:val="1"/>
      <w:marLeft w:val="0"/>
      <w:marRight w:val="0"/>
      <w:marTop w:val="0"/>
      <w:marBottom w:val="0"/>
      <w:divBdr>
        <w:top w:val="none" w:sz="0" w:space="0" w:color="auto"/>
        <w:left w:val="none" w:sz="0" w:space="0" w:color="auto"/>
        <w:bottom w:val="none" w:sz="0" w:space="0" w:color="auto"/>
        <w:right w:val="none" w:sz="0" w:space="0" w:color="auto"/>
      </w:divBdr>
    </w:div>
    <w:div w:id="344553196">
      <w:bodyDiv w:val="1"/>
      <w:marLeft w:val="0"/>
      <w:marRight w:val="0"/>
      <w:marTop w:val="0"/>
      <w:marBottom w:val="0"/>
      <w:divBdr>
        <w:top w:val="none" w:sz="0" w:space="0" w:color="auto"/>
        <w:left w:val="none" w:sz="0" w:space="0" w:color="auto"/>
        <w:bottom w:val="none" w:sz="0" w:space="0" w:color="auto"/>
        <w:right w:val="none" w:sz="0" w:space="0" w:color="auto"/>
      </w:divBdr>
    </w:div>
    <w:div w:id="356467452">
      <w:bodyDiv w:val="1"/>
      <w:marLeft w:val="0"/>
      <w:marRight w:val="0"/>
      <w:marTop w:val="0"/>
      <w:marBottom w:val="0"/>
      <w:divBdr>
        <w:top w:val="none" w:sz="0" w:space="0" w:color="auto"/>
        <w:left w:val="none" w:sz="0" w:space="0" w:color="auto"/>
        <w:bottom w:val="none" w:sz="0" w:space="0" w:color="auto"/>
        <w:right w:val="none" w:sz="0" w:space="0" w:color="auto"/>
      </w:divBdr>
    </w:div>
    <w:div w:id="358433189">
      <w:bodyDiv w:val="1"/>
      <w:marLeft w:val="0"/>
      <w:marRight w:val="0"/>
      <w:marTop w:val="0"/>
      <w:marBottom w:val="0"/>
      <w:divBdr>
        <w:top w:val="none" w:sz="0" w:space="0" w:color="auto"/>
        <w:left w:val="none" w:sz="0" w:space="0" w:color="auto"/>
        <w:bottom w:val="none" w:sz="0" w:space="0" w:color="auto"/>
        <w:right w:val="none" w:sz="0" w:space="0" w:color="auto"/>
      </w:divBdr>
    </w:div>
    <w:div w:id="363798487">
      <w:bodyDiv w:val="1"/>
      <w:marLeft w:val="0"/>
      <w:marRight w:val="0"/>
      <w:marTop w:val="0"/>
      <w:marBottom w:val="0"/>
      <w:divBdr>
        <w:top w:val="none" w:sz="0" w:space="0" w:color="auto"/>
        <w:left w:val="none" w:sz="0" w:space="0" w:color="auto"/>
        <w:bottom w:val="none" w:sz="0" w:space="0" w:color="auto"/>
        <w:right w:val="none" w:sz="0" w:space="0" w:color="auto"/>
      </w:divBdr>
    </w:div>
    <w:div w:id="369379509">
      <w:bodyDiv w:val="1"/>
      <w:marLeft w:val="0"/>
      <w:marRight w:val="0"/>
      <w:marTop w:val="0"/>
      <w:marBottom w:val="0"/>
      <w:divBdr>
        <w:top w:val="none" w:sz="0" w:space="0" w:color="auto"/>
        <w:left w:val="none" w:sz="0" w:space="0" w:color="auto"/>
        <w:bottom w:val="none" w:sz="0" w:space="0" w:color="auto"/>
        <w:right w:val="none" w:sz="0" w:space="0" w:color="auto"/>
      </w:divBdr>
    </w:div>
    <w:div w:id="371809326">
      <w:bodyDiv w:val="1"/>
      <w:marLeft w:val="0"/>
      <w:marRight w:val="0"/>
      <w:marTop w:val="0"/>
      <w:marBottom w:val="0"/>
      <w:divBdr>
        <w:top w:val="none" w:sz="0" w:space="0" w:color="auto"/>
        <w:left w:val="none" w:sz="0" w:space="0" w:color="auto"/>
        <w:bottom w:val="none" w:sz="0" w:space="0" w:color="auto"/>
        <w:right w:val="none" w:sz="0" w:space="0" w:color="auto"/>
      </w:divBdr>
    </w:div>
    <w:div w:id="373773654">
      <w:bodyDiv w:val="1"/>
      <w:marLeft w:val="0"/>
      <w:marRight w:val="0"/>
      <w:marTop w:val="0"/>
      <w:marBottom w:val="0"/>
      <w:divBdr>
        <w:top w:val="none" w:sz="0" w:space="0" w:color="auto"/>
        <w:left w:val="none" w:sz="0" w:space="0" w:color="auto"/>
        <w:bottom w:val="none" w:sz="0" w:space="0" w:color="auto"/>
        <w:right w:val="none" w:sz="0" w:space="0" w:color="auto"/>
      </w:divBdr>
    </w:div>
    <w:div w:id="374811811">
      <w:bodyDiv w:val="1"/>
      <w:marLeft w:val="0"/>
      <w:marRight w:val="0"/>
      <w:marTop w:val="0"/>
      <w:marBottom w:val="0"/>
      <w:divBdr>
        <w:top w:val="none" w:sz="0" w:space="0" w:color="auto"/>
        <w:left w:val="none" w:sz="0" w:space="0" w:color="auto"/>
        <w:bottom w:val="none" w:sz="0" w:space="0" w:color="auto"/>
        <w:right w:val="none" w:sz="0" w:space="0" w:color="auto"/>
      </w:divBdr>
    </w:div>
    <w:div w:id="374961732">
      <w:bodyDiv w:val="1"/>
      <w:marLeft w:val="0"/>
      <w:marRight w:val="0"/>
      <w:marTop w:val="0"/>
      <w:marBottom w:val="0"/>
      <w:divBdr>
        <w:top w:val="none" w:sz="0" w:space="0" w:color="auto"/>
        <w:left w:val="none" w:sz="0" w:space="0" w:color="auto"/>
        <w:bottom w:val="none" w:sz="0" w:space="0" w:color="auto"/>
        <w:right w:val="none" w:sz="0" w:space="0" w:color="auto"/>
      </w:divBdr>
    </w:div>
    <w:div w:id="379137105">
      <w:bodyDiv w:val="1"/>
      <w:marLeft w:val="0"/>
      <w:marRight w:val="0"/>
      <w:marTop w:val="0"/>
      <w:marBottom w:val="0"/>
      <w:divBdr>
        <w:top w:val="none" w:sz="0" w:space="0" w:color="auto"/>
        <w:left w:val="none" w:sz="0" w:space="0" w:color="auto"/>
        <w:bottom w:val="none" w:sz="0" w:space="0" w:color="auto"/>
        <w:right w:val="none" w:sz="0" w:space="0" w:color="auto"/>
      </w:divBdr>
    </w:div>
    <w:div w:id="383329642">
      <w:bodyDiv w:val="1"/>
      <w:marLeft w:val="0"/>
      <w:marRight w:val="0"/>
      <w:marTop w:val="0"/>
      <w:marBottom w:val="0"/>
      <w:divBdr>
        <w:top w:val="none" w:sz="0" w:space="0" w:color="auto"/>
        <w:left w:val="none" w:sz="0" w:space="0" w:color="auto"/>
        <w:bottom w:val="none" w:sz="0" w:space="0" w:color="auto"/>
        <w:right w:val="none" w:sz="0" w:space="0" w:color="auto"/>
      </w:divBdr>
    </w:div>
    <w:div w:id="388309958">
      <w:bodyDiv w:val="1"/>
      <w:marLeft w:val="0"/>
      <w:marRight w:val="0"/>
      <w:marTop w:val="0"/>
      <w:marBottom w:val="0"/>
      <w:divBdr>
        <w:top w:val="none" w:sz="0" w:space="0" w:color="auto"/>
        <w:left w:val="none" w:sz="0" w:space="0" w:color="auto"/>
        <w:bottom w:val="none" w:sz="0" w:space="0" w:color="auto"/>
        <w:right w:val="none" w:sz="0" w:space="0" w:color="auto"/>
      </w:divBdr>
    </w:div>
    <w:div w:id="395006743">
      <w:bodyDiv w:val="1"/>
      <w:marLeft w:val="0"/>
      <w:marRight w:val="0"/>
      <w:marTop w:val="0"/>
      <w:marBottom w:val="0"/>
      <w:divBdr>
        <w:top w:val="none" w:sz="0" w:space="0" w:color="auto"/>
        <w:left w:val="none" w:sz="0" w:space="0" w:color="auto"/>
        <w:bottom w:val="none" w:sz="0" w:space="0" w:color="auto"/>
        <w:right w:val="none" w:sz="0" w:space="0" w:color="auto"/>
      </w:divBdr>
    </w:div>
    <w:div w:id="397896114">
      <w:bodyDiv w:val="1"/>
      <w:marLeft w:val="0"/>
      <w:marRight w:val="0"/>
      <w:marTop w:val="0"/>
      <w:marBottom w:val="0"/>
      <w:divBdr>
        <w:top w:val="none" w:sz="0" w:space="0" w:color="auto"/>
        <w:left w:val="none" w:sz="0" w:space="0" w:color="auto"/>
        <w:bottom w:val="none" w:sz="0" w:space="0" w:color="auto"/>
        <w:right w:val="none" w:sz="0" w:space="0" w:color="auto"/>
      </w:divBdr>
    </w:div>
    <w:div w:id="405610374">
      <w:bodyDiv w:val="1"/>
      <w:marLeft w:val="0"/>
      <w:marRight w:val="0"/>
      <w:marTop w:val="0"/>
      <w:marBottom w:val="0"/>
      <w:divBdr>
        <w:top w:val="none" w:sz="0" w:space="0" w:color="auto"/>
        <w:left w:val="none" w:sz="0" w:space="0" w:color="auto"/>
        <w:bottom w:val="none" w:sz="0" w:space="0" w:color="auto"/>
        <w:right w:val="none" w:sz="0" w:space="0" w:color="auto"/>
      </w:divBdr>
    </w:div>
    <w:div w:id="410321120">
      <w:bodyDiv w:val="1"/>
      <w:marLeft w:val="0"/>
      <w:marRight w:val="0"/>
      <w:marTop w:val="0"/>
      <w:marBottom w:val="0"/>
      <w:divBdr>
        <w:top w:val="none" w:sz="0" w:space="0" w:color="auto"/>
        <w:left w:val="none" w:sz="0" w:space="0" w:color="auto"/>
        <w:bottom w:val="none" w:sz="0" w:space="0" w:color="auto"/>
        <w:right w:val="none" w:sz="0" w:space="0" w:color="auto"/>
      </w:divBdr>
    </w:div>
    <w:div w:id="417291549">
      <w:bodyDiv w:val="1"/>
      <w:marLeft w:val="0"/>
      <w:marRight w:val="0"/>
      <w:marTop w:val="0"/>
      <w:marBottom w:val="0"/>
      <w:divBdr>
        <w:top w:val="none" w:sz="0" w:space="0" w:color="auto"/>
        <w:left w:val="none" w:sz="0" w:space="0" w:color="auto"/>
        <w:bottom w:val="none" w:sz="0" w:space="0" w:color="auto"/>
        <w:right w:val="none" w:sz="0" w:space="0" w:color="auto"/>
      </w:divBdr>
    </w:div>
    <w:div w:id="429474032">
      <w:bodyDiv w:val="1"/>
      <w:marLeft w:val="0"/>
      <w:marRight w:val="0"/>
      <w:marTop w:val="0"/>
      <w:marBottom w:val="0"/>
      <w:divBdr>
        <w:top w:val="none" w:sz="0" w:space="0" w:color="auto"/>
        <w:left w:val="none" w:sz="0" w:space="0" w:color="auto"/>
        <w:bottom w:val="none" w:sz="0" w:space="0" w:color="auto"/>
        <w:right w:val="none" w:sz="0" w:space="0" w:color="auto"/>
      </w:divBdr>
    </w:div>
    <w:div w:id="432290054">
      <w:bodyDiv w:val="1"/>
      <w:marLeft w:val="0"/>
      <w:marRight w:val="0"/>
      <w:marTop w:val="0"/>
      <w:marBottom w:val="0"/>
      <w:divBdr>
        <w:top w:val="none" w:sz="0" w:space="0" w:color="auto"/>
        <w:left w:val="none" w:sz="0" w:space="0" w:color="auto"/>
        <w:bottom w:val="none" w:sz="0" w:space="0" w:color="auto"/>
        <w:right w:val="none" w:sz="0" w:space="0" w:color="auto"/>
      </w:divBdr>
    </w:div>
    <w:div w:id="432631613">
      <w:bodyDiv w:val="1"/>
      <w:marLeft w:val="0"/>
      <w:marRight w:val="0"/>
      <w:marTop w:val="0"/>
      <w:marBottom w:val="0"/>
      <w:divBdr>
        <w:top w:val="none" w:sz="0" w:space="0" w:color="auto"/>
        <w:left w:val="none" w:sz="0" w:space="0" w:color="auto"/>
        <w:bottom w:val="none" w:sz="0" w:space="0" w:color="auto"/>
        <w:right w:val="none" w:sz="0" w:space="0" w:color="auto"/>
      </w:divBdr>
    </w:div>
    <w:div w:id="437288790">
      <w:bodyDiv w:val="1"/>
      <w:marLeft w:val="0"/>
      <w:marRight w:val="0"/>
      <w:marTop w:val="0"/>
      <w:marBottom w:val="0"/>
      <w:divBdr>
        <w:top w:val="none" w:sz="0" w:space="0" w:color="auto"/>
        <w:left w:val="none" w:sz="0" w:space="0" w:color="auto"/>
        <w:bottom w:val="none" w:sz="0" w:space="0" w:color="auto"/>
        <w:right w:val="none" w:sz="0" w:space="0" w:color="auto"/>
      </w:divBdr>
    </w:div>
    <w:div w:id="454370796">
      <w:bodyDiv w:val="1"/>
      <w:marLeft w:val="0"/>
      <w:marRight w:val="0"/>
      <w:marTop w:val="0"/>
      <w:marBottom w:val="0"/>
      <w:divBdr>
        <w:top w:val="none" w:sz="0" w:space="0" w:color="auto"/>
        <w:left w:val="none" w:sz="0" w:space="0" w:color="auto"/>
        <w:bottom w:val="none" w:sz="0" w:space="0" w:color="auto"/>
        <w:right w:val="none" w:sz="0" w:space="0" w:color="auto"/>
      </w:divBdr>
    </w:div>
    <w:div w:id="455955608">
      <w:bodyDiv w:val="1"/>
      <w:marLeft w:val="0"/>
      <w:marRight w:val="0"/>
      <w:marTop w:val="0"/>
      <w:marBottom w:val="0"/>
      <w:divBdr>
        <w:top w:val="none" w:sz="0" w:space="0" w:color="auto"/>
        <w:left w:val="none" w:sz="0" w:space="0" w:color="auto"/>
        <w:bottom w:val="none" w:sz="0" w:space="0" w:color="auto"/>
        <w:right w:val="none" w:sz="0" w:space="0" w:color="auto"/>
      </w:divBdr>
    </w:div>
    <w:div w:id="465589661">
      <w:bodyDiv w:val="1"/>
      <w:marLeft w:val="0"/>
      <w:marRight w:val="0"/>
      <w:marTop w:val="0"/>
      <w:marBottom w:val="0"/>
      <w:divBdr>
        <w:top w:val="none" w:sz="0" w:space="0" w:color="auto"/>
        <w:left w:val="none" w:sz="0" w:space="0" w:color="auto"/>
        <w:bottom w:val="none" w:sz="0" w:space="0" w:color="auto"/>
        <w:right w:val="none" w:sz="0" w:space="0" w:color="auto"/>
      </w:divBdr>
    </w:div>
    <w:div w:id="466817643">
      <w:bodyDiv w:val="1"/>
      <w:marLeft w:val="0"/>
      <w:marRight w:val="0"/>
      <w:marTop w:val="0"/>
      <w:marBottom w:val="0"/>
      <w:divBdr>
        <w:top w:val="none" w:sz="0" w:space="0" w:color="auto"/>
        <w:left w:val="none" w:sz="0" w:space="0" w:color="auto"/>
        <w:bottom w:val="none" w:sz="0" w:space="0" w:color="auto"/>
        <w:right w:val="none" w:sz="0" w:space="0" w:color="auto"/>
      </w:divBdr>
    </w:div>
    <w:div w:id="473065976">
      <w:bodyDiv w:val="1"/>
      <w:marLeft w:val="0"/>
      <w:marRight w:val="0"/>
      <w:marTop w:val="0"/>
      <w:marBottom w:val="0"/>
      <w:divBdr>
        <w:top w:val="none" w:sz="0" w:space="0" w:color="auto"/>
        <w:left w:val="none" w:sz="0" w:space="0" w:color="auto"/>
        <w:bottom w:val="none" w:sz="0" w:space="0" w:color="auto"/>
        <w:right w:val="none" w:sz="0" w:space="0" w:color="auto"/>
      </w:divBdr>
    </w:div>
    <w:div w:id="477306046">
      <w:bodyDiv w:val="1"/>
      <w:marLeft w:val="0"/>
      <w:marRight w:val="0"/>
      <w:marTop w:val="0"/>
      <w:marBottom w:val="0"/>
      <w:divBdr>
        <w:top w:val="none" w:sz="0" w:space="0" w:color="auto"/>
        <w:left w:val="none" w:sz="0" w:space="0" w:color="auto"/>
        <w:bottom w:val="none" w:sz="0" w:space="0" w:color="auto"/>
        <w:right w:val="none" w:sz="0" w:space="0" w:color="auto"/>
      </w:divBdr>
    </w:div>
    <w:div w:id="480343497">
      <w:bodyDiv w:val="1"/>
      <w:marLeft w:val="0"/>
      <w:marRight w:val="0"/>
      <w:marTop w:val="0"/>
      <w:marBottom w:val="0"/>
      <w:divBdr>
        <w:top w:val="none" w:sz="0" w:space="0" w:color="auto"/>
        <w:left w:val="none" w:sz="0" w:space="0" w:color="auto"/>
        <w:bottom w:val="none" w:sz="0" w:space="0" w:color="auto"/>
        <w:right w:val="none" w:sz="0" w:space="0" w:color="auto"/>
      </w:divBdr>
    </w:div>
    <w:div w:id="490876572">
      <w:bodyDiv w:val="1"/>
      <w:marLeft w:val="0"/>
      <w:marRight w:val="0"/>
      <w:marTop w:val="0"/>
      <w:marBottom w:val="0"/>
      <w:divBdr>
        <w:top w:val="none" w:sz="0" w:space="0" w:color="auto"/>
        <w:left w:val="none" w:sz="0" w:space="0" w:color="auto"/>
        <w:bottom w:val="none" w:sz="0" w:space="0" w:color="auto"/>
        <w:right w:val="none" w:sz="0" w:space="0" w:color="auto"/>
      </w:divBdr>
    </w:div>
    <w:div w:id="491141490">
      <w:bodyDiv w:val="1"/>
      <w:marLeft w:val="0"/>
      <w:marRight w:val="0"/>
      <w:marTop w:val="0"/>
      <w:marBottom w:val="0"/>
      <w:divBdr>
        <w:top w:val="none" w:sz="0" w:space="0" w:color="auto"/>
        <w:left w:val="none" w:sz="0" w:space="0" w:color="auto"/>
        <w:bottom w:val="none" w:sz="0" w:space="0" w:color="auto"/>
        <w:right w:val="none" w:sz="0" w:space="0" w:color="auto"/>
      </w:divBdr>
    </w:div>
    <w:div w:id="506484453">
      <w:bodyDiv w:val="1"/>
      <w:marLeft w:val="0"/>
      <w:marRight w:val="0"/>
      <w:marTop w:val="0"/>
      <w:marBottom w:val="0"/>
      <w:divBdr>
        <w:top w:val="none" w:sz="0" w:space="0" w:color="auto"/>
        <w:left w:val="none" w:sz="0" w:space="0" w:color="auto"/>
        <w:bottom w:val="none" w:sz="0" w:space="0" w:color="auto"/>
        <w:right w:val="none" w:sz="0" w:space="0" w:color="auto"/>
      </w:divBdr>
    </w:div>
    <w:div w:id="519047334">
      <w:bodyDiv w:val="1"/>
      <w:marLeft w:val="0"/>
      <w:marRight w:val="0"/>
      <w:marTop w:val="0"/>
      <w:marBottom w:val="0"/>
      <w:divBdr>
        <w:top w:val="none" w:sz="0" w:space="0" w:color="auto"/>
        <w:left w:val="none" w:sz="0" w:space="0" w:color="auto"/>
        <w:bottom w:val="none" w:sz="0" w:space="0" w:color="auto"/>
        <w:right w:val="none" w:sz="0" w:space="0" w:color="auto"/>
      </w:divBdr>
    </w:div>
    <w:div w:id="520514449">
      <w:bodyDiv w:val="1"/>
      <w:marLeft w:val="0"/>
      <w:marRight w:val="0"/>
      <w:marTop w:val="0"/>
      <w:marBottom w:val="0"/>
      <w:divBdr>
        <w:top w:val="none" w:sz="0" w:space="0" w:color="auto"/>
        <w:left w:val="none" w:sz="0" w:space="0" w:color="auto"/>
        <w:bottom w:val="none" w:sz="0" w:space="0" w:color="auto"/>
        <w:right w:val="none" w:sz="0" w:space="0" w:color="auto"/>
      </w:divBdr>
    </w:div>
    <w:div w:id="529076055">
      <w:bodyDiv w:val="1"/>
      <w:marLeft w:val="0"/>
      <w:marRight w:val="0"/>
      <w:marTop w:val="0"/>
      <w:marBottom w:val="0"/>
      <w:divBdr>
        <w:top w:val="none" w:sz="0" w:space="0" w:color="auto"/>
        <w:left w:val="none" w:sz="0" w:space="0" w:color="auto"/>
        <w:bottom w:val="none" w:sz="0" w:space="0" w:color="auto"/>
        <w:right w:val="none" w:sz="0" w:space="0" w:color="auto"/>
      </w:divBdr>
    </w:div>
    <w:div w:id="530806146">
      <w:bodyDiv w:val="1"/>
      <w:marLeft w:val="0"/>
      <w:marRight w:val="0"/>
      <w:marTop w:val="0"/>
      <w:marBottom w:val="0"/>
      <w:divBdr>
        <w:top w:val="none" w:sz="0" w:space="0" w:color="auto"/>
        <w:left w:val="none" w:sz="0" w:space="0" w:color="auto"/>
        <w:bottom w:val="none" w:sz="0" w:space="0" w:color="auto"/>
        <w:right w:val="none" w:sz="0" w:space="0" w:color="auto"/>
      </w:divBdr>
    </w:div>
    <w:div w:id="532839786">
      <w:bodyDiv w:val="1"/>
      <w:marLeft w:val="0"/>
      <w:marRight w:val="0"/>
      <w:marTop w:val="0"/>
      <w:marBottom w:val="0"/>
      <w:divBdr>
        <w:top w:val="none" w:sz="0" w:space="0" w:color="auto"/>
        <w:left w:val="none" w:sz="0" w:space="0" w:color="auto"/>
        <w:bottom w:val="none" w:sz="0" w:space="0" w:color="auto"/>
        <w:right w:val="none" w:sz="0" w:space="0" w:color="auto"/>
      </w:divBdr>
    </w:div>
    <w:div w:id="534198268">
      <w:bodyDiv w:val="1"/>
      <w:marLeft w:val="0"/>
      <w:marRight w:val="0"/>
      <w:marTop w:val="0"/>
      <w:marBottom w:val="0"/>
      <w:divBdr>
        <w:top w:val="none" w:sz="0" w:space="0" w:color="auto"/>
        <w:left w:val="none" w:sz="0" w:space="0" w:color="auto"/>
        <w:bottom w:val="none" w:sz="0" w:space="0" w:color="auto"/>
        <w:right w:val="none" w:sz="0" w:space="0" w:color="auto"/>
      </w:divBdr>
    </w:div>
    <w:div w:id="543644217">
      <w:bodyDiv w:val="1"/>
      <w:marLeft w:val="0"/>
      <w:marRight w:val="0"/>
      <w:marTop w:val="0"/>
      <w:marBottom w:val="0"/>
      <w:divBdr>
        <w:top w:val="none" w:sz="0" w:space="0" w:color="auto"/>
        <w:left w:val="none" w:sz="0" w:space="0" w:color="auto"/>
        <w:bottom w:val="none" w:sz="0" w:space="0" w:color="auto"/>
        <w:right w:val="none" w:sz="0" w:space="0" w:color="auto"/>
      </w:divBdr>
    </w:div>
    <w:div w:id="550844109">
      <w:bodyDiv w:val="1"/>
      <w:marLeft w:val="0"/>
      <w:marRight w:val="0"/>
      <w:marTop w:val="0"/>
      <w:marBottom w:val="0"/>
      <w:divBdr>
        <w:top w:val="none" w:sz="0" w:space="0" w:color="auto"/>
        <w:left w:val="none" w:sz="0" w:space="0" w:color="auto"/>
        <w:bottom w:val="none" w:sz="0" w:space="0" w:color="auto"/>
        <w:right w:val="none" w:sz="0" w:space="0" w:color="auto"/>
      </w:divBdr>
    </w:div>
    <w:div w:id="573005656">
      <w:bodyDiv w:val="1"/>
      <w:marLeft w:val="0"/>
      <w:marRight w:val="0"/>
      <w:marTop w:val="0"/>
      <w:marBottom w:val="0"/>
      <w:divBdr>
        <w:top w:val="none" w:sz="0" w:space="0" w:color="auto"/>
        <w:left w:val="none" w:sz="0" w:space="0" w:color="auto"/>
        <w:bottom w:val="none" w:sz="0" w:space="0" w:color="auto"/>
        <w:right w:val="none" w:sz="0" w:space="0" w:color="auto"/>
      </w:divBdr>
    </w:div>
    <w:div w:id="573126877">
      <w:bodyDiv w:val="1"/>
      <w:marLeft w:val="0"/>
      <w:marRight w:val="0"/>
      <w:marTop w:val="0"/>
      <w:marBottom w:val="0"/>
      <w:divBdr>
        <w:top w:val="none" w:sz="0" w:space="0" w:color="auto"/>
        <w:left w:val="none" w:sz="0" w:space="0" w:color="auto"/>
        <w:bottom w:val="none" w:sz="0" w:space="0" w:color="auto"/>
        <w:right w:val="none" w:sz="0" w:space="0" w:color="auto"/>
      </w:divBdr>
    </w:div>
    <w:div w:id="580022276">
      <w:bodyDiv w:val="1"/>
      <w:marLeft w:val="0"/>
      <w:marRight w:val="0"/>
      <w:marTop w:val="0"/>
      <w:marBottom w:val="0"/>
      <w:divBdr>
        <w:top w:val="none" w:sz="0" w:space="0" w:color="auto"/>
        <w:left w:val="none" w:sz="0" w:space="0" w:color="auto"/>
        <w:bottom w:val="none" w:sz="0" w:space="0" w:color="auto"/>
        <w:right w:val="none" w:sz="0" w:space="0" w:color="auto"/>
      </w:divBdr>
    </w:div>
    <w:div w:id="586421724">
      <w:bodyDiv w:val="1"/>
      <w:marLeft w:val="0"/>
      <w:marRight w:val="0"/>
      <w:marTop w:val="0"/>
      <w:marBottom w:val="0"/>
      <w:divBdr>
        <w:top w:val="none" w:sz="0" w:space="0" w:color="auto"/>
        <w:left w:val="none" w:sz="0" w:space="0" w:color="auto"/>
        <w:bottom w:val="none" w:sz="0" w:space="0" w:color="auto"/>
        <w:right w:val="none" w:sz="0" w:space="0" w:color="auto"/>
      </w:divBdr>
    </w:div>
    <w:div w:id="589241088">
      <w:bodyDiv w:val="1"/>
      <w:marLeft w:val="0"/>
      <w:marRight w:val="0"/>
      <w:marTop w:val="0"/>
      <w:marBottom w:val="0"/>
      <w:divBdr>
        <w:top w:val="none" w:sz="0" w:space="0" w:color="auto"/>
        <w:left w:val="none" w:sz="0" w:space="0" w:color="auto"/>
        <w:bottom w:val="none" w:sz="0" w:space="0" w:color="auto"/>
        <w:right w:val="none" w:sz="0" w:space="0" w:color="auto"/>
      </w:divBdr>
    </w:div>
    <w:div w:id="606080229">
      <w:bodyDiv w:val="1"/>
      <w:marLeft w:val="0"/>
      <w:marRight w:val="0"/>
      <w:marTop w:val="0"/>
      <w:marBottom w:val="0"/>
      <w:divBdr>
        <w:top w:val="none" w:sz="0" w:space="0" w:color="auto"/>
        <w:left w:val="none" w:sz="0" w:space="0" w:color="auto"/>
        <w:bottom w:val="none" w:sz="0" w:space="0" w:color="auto"/>
        <w:right w:val="none" w:sz="0" w:space="0" w:color="auto"/>
      </w:divBdr>
    </w:div>
    <w:div w:id="606887566">
      <w:bodyDiv w:val="1"/>
      <w:marLeft w:val="0"/>
      <w:marRight w:val="0"/>
      <w:marTop w:val="0"/>
      <w:marBottom w:val="0"/>
      <w:divBdr>
        <w:top w:val="none" w:sz="0" w:space="0" w:color="auto"/>
        <w:left w:val="none" w:sz="0" w:space="0" w:color="auto"/>
        <w:bottom w:val="none" w:sz="0" w:space="0" w:color="auto"/>
        <w:right w:val="none" w:sz="0" w:space="0" w:color="auto"/>
      </w:divBdr>
    </w:div>
    <w:div w:id="609512246">
      <w:bodyDiv w:val="1"/>
      <w:marLeft w:val="0"/>
      <w:marRight w:val="0"/>
      <w:marTop w:val="0"/>
      <w:marBottom w:val="0"/>
      <w:divBdr>
        <w:top w:val="none" w:sz="0" w:space="0" w:color="auto"/>
        <w:left w:val="none" w:sz="0" w:space="0" w:color="auto"/>
        <w:bottom w:val="none" w:sz="0" w:space="0" w:color="auto"/>
        <w:right w:val="none" w:sz="0" w:space="0" w:color="auto"/>
      </w:divBdr>
    </w:div>
    <w:div w:id="624583269">
      <w:bodyDiv w:val="1"/>
      <w:marLeft w:val="0"/>
      <w:marRight w:val="0"/>
      <w:marTop w:val="0"/>
      <w:marBottom w:val="0"/>
      <w:divBdr>
        <w:top w:val="none" w:sz="0" w:space="0" w:color="auto"/>
        <w:left w:val="none" w:sz="0" w:space="0" w:color="auto"/>
        <w:bottom w:val="none" w:sz="0" w:space="0" w:color="auto"/>
        <w:right w:val="none" w:sz="0" w:space="0" w:color="auto"/>
      </w:divBdr>
    </w:div>
    <w:div w:id="625350713">
      <w:bodyDiv w:val="1"/>
      <w:marLeft w:val="0"/>
      <w:marRight w:val="0"/>
      <w:marTop w:val="0"/>
      <w:marBottom w:val="0"/>
      <w:divBdr>
        <w:top w:val="none" w:sz="0" w:space="0" w:color="auto"/>
        <w:left w:val="none" w:sz="0" w:space="0" w:color="auto"/>
        <w:bottom w:val="none" w:sz="0" w:space="0" w:color="auto"/>
        <w:right w:val="none" w:sz="0" w:space="0" w:color="auto"/>
      </w:divBdr>
    </w:div>
    <w:div w:id="626661170">
      <w:bodyDiv w:val="1"/>
      <w:marLeft w:val="0"/>
      <w:marRight w:val="0"/>
      <w:marTop w:val="0"/>
      <w:marBottom w:val="0"/>
      <w:divBdr>
        <w:top w:val="none" w:sz="0" w:space="0" w:color="auto"/>
        <w:left w:val="none" w:sz="0" w:space="0" w:color="auto"/>
        <w:bottom w:val="none" w:sz="0" w:space="0" w:color="auto"/>
        <w:right w:val="none" w:sz="0" w:space="0" w:color="auto"/>
      </w:divBdr>
    </w:div>
    <w:div w:id="631904868">
      <w:bodyDiv w:val="1"/>
      <w:marLeft w:val="0"/>
      <w:marRight w:val="0"/>
      <w:marTop w:val="0"/>
      <w:marBottom w:val="0"/>
      <w:divBdr>
        <w:top w:val="none" w:sz="0" w:space="0" w:color="auto"/>
        <w:left w:val="none" w:sz="0" w:space="0" w:color="auto"/>
        <w:bottom w:val="none" w:sz="0" w:space="0" w:color="auto"/>
        <w:right w:val="none" w:sz="0" w:space="0" w:color="auto"/>
      </w:divBdr>
    </w:div>
    <w:div w:id="648825479">
      <w:bodyDiv w:val="1"/>
      <w:marLeft w:val="0"/>
      <w:marRight w:val="0"/>
      <w:marTop w:val="0"/>
      <w:marBottom w:val="0"/>
      <w:divBdr>
        <w:top w:val="none" w:sz="0" w:space="0" w:color="auto"/>
        <w:left w:val="none" w:sz="0" w:space="0" w:color="auto"/>
        <w:bottom w:val="none" w:sz="0" w:space="0" w:color="auto"/>
        <w:right w:val="none" w:sz="0" w:space="0" w:color="auto"/>
      </w:divBdr>
    </w:div>
    <w:div w:id="651451880">
      <w:bodyDiv w:val="1"/>
      <w:marLeft w:val="0"/>
      <w:marRight w:val="0"/>
      <w:marTop w:val="0"/>
      <w:marBottom w:val="0"/>
      <w:divBdr>
        <w:top w:val="none" w:sz="0" w:space="0" w:color="auto"/>
        <w:left w:val="none" w:sz="0" w:space="0" w:color="auto"/>
        <w:bottom w:val="none" w:sz="0" w:space="0" w:color="auto"/>
        <w:right w:val="none" w:sz="0" w:space="0" w:color="auto"/>
      </w:divBdr>
    </w:div>
    <w:div w:id="656691080">
      <w:bodyDiv w:val="1"/>
      <w:marLeft w:val="0"/>
      <w:marRight w:val="0"/>
      <w:marTop w:val="0"/>
      <w:marBottom w:val="0"/>
      <w:divBdr>
        <w:top w:val="none" w:sz="0" w:space="0" w:color="auto"/>
        <w:left w:val="none" w:sz="0" w:space="0" w:color="auto"/>
        <w:bottom w:val="none" w:sz="0" w:space="0" w:color="auto"/>
        <w:right w:val="none" w:sz="0" w:space="0" w:color="auto"/>
      </w:divBdr>
    </w:div>
    <w:div w:id="658463442">
      <w:bodyDiv w:val="1"/>
      <w:marLeft w:val="0"/>
      <w:marRight w:val="0"/>
      <w:marTop w:val="0"/>
      <w:marBottom w:val="0"/>
      <w:divBdr>
        <w:top w:val="none" w:sz="0" w:space="0" w:color="auto"/>
        <w:left w:val="none" w:sz="0" w:space="0" w:color="auto"/>
        <w:bottom w:val="none" w:sz="0" w:space="0" w:color="auto"/>
        <w:right w:val="none" w:sz="0" w:space="0" w:color="auto"/>
      </w:divBdr>
    </w:div>
    <w:div w:id="663245175">
      <w:bodyDiv w:val="1"/>
      <w:marLeft w:val="0"/>
      <w:marRight w:val="0"/>
      <w:marTop w:val="0"/>
      <w:marBottom w:val="0"/>
      <w:divBdr>
        <w:top w:val="none" w:sz="0" w:space="0" w:color="auto"/>
        <w:left w:val="none" w:sz="0" w:space="0" w:color="auto"/>
        <w:bottom w:val="none" w:sz="0" w:space="0" w:color="auto"/>
        <w:right w:val="none" w:sz="0" w:space="0" w:color="auto"/>
      </w:divBdr>
    </w:div>
    <w:div w:id="663629004">
      <w:bodyDiv w:val="1"/>
      <w:marLeft w:val="0"/>
      <w:marRight w:val="0"/>
      <w:marTop w:val="0"/>
      <w:marBottom w:val="0"/>
      <w:divBdr>
        <w:top w:val="none" w:sz="0" w:space="0" w:color="auto"/>
        <w:left w:val="none" w:sz="0" w:space="0" w:color="auto"/>
        <w:bottom w:val="none" w:sz="0" w:space="0" w:color="auto"/>
        <w:right w:val="none" w:sz="0" w:space="0" w:color="auto"/>
      </w:divBdr>
    </w:div>
    <w:div w:id="668213981">
      <w:bodyDiv w:val="1"/>
      <w:marLeft w:val="0"/>
      <w:marRight w:val="0"/>
      <w:marTop w:val="0"/>
      <w:marBottom w:val="0"/>
      <w:divBdr>
        <w:top w:val="none" w:sz="0" w:space="0" w:color="auto"/>
        <w:left w:val="none" w:sz="0" w:space="0" w:color="auto"/>
        <w:bottom w:val="none" w:sz="0" w:space="0" w:color="auto"/>
        <w:right w:val="none" w:sz="0" w:space="0" w:color="auto"/>
      </w:divBdr>
    </w:div>
    <w:div w:id="669940966">
      <w:bodyDiv w:val="1"/>
      <w:marLeft w:val="0"/>
      <w:marRight w:val="0"/>
      <w:marTop w:val="0"/>
      <w:marBottom w:val="0"/>
      <w:divBdr>
        <w:top w:val="none" w:sz="0" w:space="0" w:color="auto"/>
        <w:left w:val="none" w:sz="0" w:space="0" w:color="auto"/>
        <w:bottom w:val="none" w:sz="0" w:space="0" w:color="auto"/>
        <w:right w:val="none" w:sz="0" w:space="0" w:color="auto"/>
      </w:divBdr>
    </w:div>
    <w:div w:id="675545843">
      <w:bodyDiv w:val="1"/>
      <w:marLeft w:val="0"/>
      <w:marRight w:val="0"/>
      <w:marTop w:val="0"/>
      <w:marBottom w:val="0"/>
      <w:divBdr>
        <w:top w:val="none" w:sz="0" w:space="0" w:color="auto"/>
        <w:left w:val="none" w:sz="0" w:space="0" w:color="auto"/>
        <w:bottom w:val="none" w:sz="0" w:space="0" w:color="auto"/>
        <w:right w:val="none" w:sz="0" w:space="0" w:color="auto"/>
      </w:divBdr>
    </w:div>
    <w:div w:id="690910714">
      <w:bodyDiv w:val="1"/>
      <w:marLeft w:val="0"/>
      <w:marRight w:val="0"/>
      <w:marTop w:val="0"/>
      <w:marBottom w:val="0"/>
      <w:divBdr>
        <w:top w:val="none" w:sz="0" w:space="0" w:color="auto"/>
        <w:left w:val="none" w:sz="0" w:space="0" w:color="auto"/>
        <w:bottom w:val="none" w:sz="0" w:space="0" w:color="auto"/>
        <w:right w:val="none" w:sz="0" w:space="0" w:color="auto"/>
      </w:divBdr>
    </w:div>
    <w:div w:id="691496206">
      <w:bodyDiv w:val="1"/>
      <w:marLeft w:val="0"/>
      <w:marRight w:val="0"/>
      <w:marTop w:val="0"/>
      <w:marBottom w:val="0"/>
      <w:divBdr>
        <w:top w:val="none" w:sz="0" w:space="0" w:color="auto"/>
        <w:left w:val="none" w:sz="0" w:space="0" w:color="auto"/>
        <w:bottom w:val="none" w:sz="0" w:space="0" w:color="auto"/>
        <w:right w:val="none" w:sz="0" w:space="0" w:color="auto"/>
      </w:divBdr>
    </w:div>
    <w:div w:id="697924587">
      <w:bodyDiv w:val="1"/>
      <w:marLeft w:val="0"/>
      <w:marRight w:val="0"/>
      <w:marTop w:val="0"/>
      <w:marBottom w:val="0"/>
      <w:divBdr>
        <w:top w:val="none" w:sz="0" w:space="0" w:color="auto"/>
        <w:left w:val="none" w:sz="0" w:space="0" w:color="auto"/>
        <w:bottom w:val="none" w:sz="0" w:space="0" w:color="auto"/>
        <w:right w:val="none" w:sz="0" w:space="0" w:color="auto"/>
      </w:divBdr>
    </w:div>
    <w:div w:id="700594224">
      <w:bodyDiv w:val="1"/>
      <w:marLeft w:val="0"/>
      <w:marRight w:val="0"/>
      <w:marTop w:val="0"/>
      <w:marBottom w:val="0"/>
      <w:divBdr>
        <w:top w:val="none" w:sz="0" w:space="0" w:color="auto"/>
        <w:left w:val="none" w:sz="0" w:space="0" w:color="auto"/>
        <w:bottom w:val="none" w:sz="0" w:space="0" w:color="auto"/>
        <w:right w:val="none" w:sz="0" w:space="0" w:color="auto"/>
      </w:divBdr>
    </w:div>
    <w:div w:id="712968170">
      <w:bodyDiv w:val="1"/>
      <w:marLeft w:val="0"/>
      <w:marRight w:val="0"/>
      <w:marTop w:val="0"/>
      <w:marBottom w:val="0"/>
      <w:divBdr>
        <w:top w:val="none" w:sz="0" w:space="0" w:color="auto"/>
        <w:left w:val="none" w:sz="0" w:space="0" w:color="auto"/>
        <w:bottom w:val="none" w:sz="0" w:space="0" w:color="auto"/>
        <w:right w:val="none" w:sz="0" w:space="0" w:color="auto"/>
      </w:divBdr>
    </w:div>
    <w:div w:id="729115810">
      <w:bodyDiv w:val="1"/>
      <w:marLeft w:val="0"/>
      <w:marRight w:val="0"/>
      <w:marTop w:val="0"/>
      <w:marBottom w:val="0"/>
      <w:divBdr>
        <w:top w:val="none" w:sz="0" w:space="0" w:color="auto"/>
        <w:left w:val="none" w:sz="0" w:space="0" w:color="auto"/>
        <w:bottom w:val="none" w:sz="0" w:space="0" w:color="auto"/>
        <w:right w:val="none" w:sz="0" w:space="0" w:color="auto"/>
      </w:divBdr>
    </w:div>
    <w:div w:id="735475522">
      <w:bodyDiv w:val="1"/>
      <w:marLeft w:val="0"/>
      <w:marRight w:val="0"/>
      <w:marTop w:val="0"/>
      <w:marBottom w:val="0"/>
      <w:divBdr>
        <w:top w:val="none" w:sz="0" w:space="0" w:color="auto"/>
        <w:left w:val="none" w:sz="0" w:space="0" w:color="auto"/>
        <w:bottom w:val="none" w:sz="0" w:space="0" w:color="auto"/>
        <w:right w:val="none" w:sz="0" w:space="0" w:color="auto"/>
      </w:divBdr>
    </w:div>
    <w:div w:id="740836119">
      <w:bodyDiv w:val="1"/>
      <w:marLeft w:val="0"/>
      <w:marRight w:val="0"/>
      <w:marTop w:val="0"/>
      <w:marBottom w:val="0"/>
      <w:divBdr>
        <w:top w:val="none" w:sz="0" w:space="0" w:color="auto"/>
        <w:left w:val="none" w:sz="0" w:space="0" w:color="auto"/>
        <w:bottom w:val="none" w:sz="0" w:space="0" w:color="auto"/>
        <w:right w:val="none" w:sz="0" w:space="0" w:color="auto"/>
      </w:divBdr>
    </w:div>
    <w:div w:id="743842825">
      <w:bodyDiv w:val="1"/>
      <w:marLeft w:val="0"/>
      <w:marRight w:val="0"/>
      <w:marTop w:val="0"/>
      <w:marBottom w:val="0"/>
      <w:divBdr>
        <w:top w:val="none" w:sz="0" w:space="0" w:color="auto"/>
        <w:left w:val="none" w:sz="0" w:space="0" w:color="auto"/>
        <w:bottom w:val="none" w:sz="0" w:space="0" w:color="auto"/>
        <w:right w:val="none" w:sz="0" w:space="0" w:color="auto"/>
      </w:divBdr>
    </w:div>
    <w:div w:id="764108087">
      <w:bodyDiv w:val="1"/>
      <w:marLeft w:val="0"/>
      <w:marRight w:val="0"/>
      <w:marTop w:val="0"/>
      <w:marBottom w:val="0"/>
      <w:divBdr>
        <w:top w:val="none" w:sz="0" w:space="0" w:color="auto"/>
        <w:left w:val="none" w:sz="0" w:space="0" w:color="auto"/>
        <w:bottom w:val="none" w:sz="0" w:space="0" w:color="auto"/>
        <w:right w:val="none" w:sz="0" w:space="0" w:color="auto"/>
      </w:divBdr>
    </w:div>
    <w:div w:id="774448875">
      <w:bodyDiv w:val="1"/>
      <w:marLeft w:val="0"/>
      <w:marRight w:val="0"/>
      <w:marTop w:val="0"/>
      <w:marBottom w:val="0"/>
      <w:divBdr>
        <w:top w:val="none" w:sz="0" w:space="0" w:color="auto"/>
        <w:left w:val="none" w:sz="0" w:space="0" w:color="auto"/>
        <w:bottom w:val="none" w:sz="0" w:space="0" w:color="auto"/>
        <w:right w:val="none" w:sz="0" w:space="0" w:color="auto"/>
      </w:divBdr>
    </w:div>
    <w:div w:id="783109157">
      <w:bodyDiv w:val="1"/>
      <w:marLeft w:val="0"/>
      <w:marRight w:val="0"/>
      <w:marTop w:val="0"/>
      <w:marBottom w:val="0"/>
      <w:divBdr>
        <w:top w:val="none" w:sz="0" w:space="0" w:color="auto"/>
        <w:left w:val="none" w:sz="0" w:space="0" w:color="auto"/>
        <w:bottom w:val="none" w:sz="0" w:space="0" w:color="auto"/>
        <w:right w:val="none" w:sz="0" w:space="0" w:color="auto"/>
      </w:divBdr>
    </w:div>
    <w:div w:id="784227338">
      <w:bodyDiv w:val="1"/>
      <w:marLeft w:val="0"/>
      <w:marRight w:val="0"/>
      <w:marTop w:val="0"/>
      <w:marBottom w:val="0"/>
      <w:divBdr>
        <w:top w:val="none" w:sz="0" w:space="0" w:color="auto"/>
        <w:left w:val="none" w:sz="0" w:space="0" w:color="auto"/>
        <w:bottom w:val="none" w:sz="0" w:space="0" w:color="auto"/>
        <w:right w:val="none" w:sz="0" w:space="0" w:color="auto"/>
      </w:divBdr>
    </w:div>
    <w:div w:id="786390485">
      <w:bodyDiv w:val="1"/>
      <w:marLeft w:val="0"/>
      <w:marRight w:val="0"/>
      <w:marTop w:val="0"/>
      <w:marBottom w:val="0"/>
      <w:divBdr>
        <w:top w:val="none" w:sz="0" w:space="0" w:color="auto"/>
        <w:left w:val="none" w:sz="0" w:space="0" w:color="auto"/>
        <w:bottom w:val="none" w:sz="0" w:space="0" w:color="auto"/>
        <w:right w:val="none" w:sz="0" w:space="0" w:color="auto"/>
      </w:divBdr>
    </w:div>
    <w:div w:id="799998142">
      <w:bodyDiv w:val="1"/>
      <w:marLeft w:val="0"/>
      <w:marRight w:val="0"/>
      <w:marTop w:val="0"/>
      <w:marBottom w:val="0"/>
      <w:divBdr>
        <w:top w:val="none" w:sz="0" w:space="0" w:color="auto"/>
        <w:left w:val="none" w:sz="0" w:space="0" w:color="auto"/>
        <w:bottom w:val="none" w:sz="0" w:space="0" w:color="auto"/>
        <w:right w:val="none" w:sz="0" w:space="0" w:color="auto"/>
      </w:divBdr>
    </w:div>
    <w:div w:id="822431853">
      <w:bodyDiv w:val="1"/>
      <w:marLeft w:val="0"/>
      <w:marRight w:val="0"/>
      <w:marTop w:val="0"/>
      <w:marBottom w:val="0"/>
      <w:divBdr>
        <w:top w:val="none" w:sz="0" w:space="0" w:color="auto"/>
        <w:left w:val="none" w:sz="0" w:space="0" w:color="auto"/>
        <w:bottom w:val="none" w:sz="0" w:space="0" w:color="auto"/>
        <w:right w:val="none" w:sz="0" w:space="0" w:color="auto"/>
      </w:divBdr>
    </w:div>
    <w:div w:id="828330680">
      <w:bodyDiv w:val="1"/>
      <w:marLeft w:val="0"/>
      <w:marRight w:val="0"/>
      <w:marTop w:val="0"/>
      <w:marBottom w:val="0"/>
      <w:divBdr>
        <w:top w:val="none" w:sz="0" w:space="0" w:color="auto"/>
        <w:left w:val="none" w:sz="0" w:space="0" w:color="auto"/>
        <w:bottom w:val="none" w:sz="0" w:space="0" w:color="auto"/>
        <w:right w:val="none" w:sz="0" w:space="0" w:color="auto"/>
      </w:divBdr>
    </w:div>
    <w:div w:id="845947682">
      <w:bodyDiv w:val="1"/>
      <w:marLeft w:val="0"/>
      <w:marRight w:val="0"/>
      <w:marTop w:val="0"/>
      <w:marBottom w:val="0"/>
      <w:divBdr>
        <w:top w:val="none" w:sz="0" w:space="0" w:color="auto"/>
        <w:left w:val="none" w:sz="0" w:space="0" w:color="auto"/>
        <w:bottom w:val="none" w:sz="0" w:space="0" w:color="auto"/>
        <w:right w:val="none" w:sz="0" w:space="0" w:color="auto"/>
      </w:divBdr>
    </w:div>
    <w:div w:id="851843311">
      <w:bodyDiv w:val="1"/>
      <w:marLeft w:val="0"/>
      <w:marRight w:val="0"/>
      <w:marTop w:val="0"/>
      <w:marBottom w:val="0"/>
      <w:divBdr>
        <w:top w:val="none" w:sz="0" w:space="0" w:color="auto"/>
        <w:left w:val="none" w:sz="0" w:space="0" w:color="auto"/>
        <w:bottom w:val="none" w:sz="0" w:space="0" w:color="auto"/>
        <w:right w:val="none" w:sz="0" w:space="0" w:color="auto"/>
      </w:divBdr>
    </w:div>
    <w:div w:id="854658828">
      <w:bodyDiv w:val="1"/>
      <w:marLeft w:val="0"/>
      <w:marRight w:val="0"/>
      <w:marTop w:val="0"/>
      <w:marBottom w:val="0"/>
      <w:divBdr>
        <w:top w:val="none" w:sz="0" w:space="0" w:color="auto"/>
        <w:left w:val="none" w:sz="0" w:space="0" w:color="auto"/>
        <w:bottom w:val="none" w:sz="0" w:space="0" w:color="auto"/>
        <w:right w:val="none" w:sz="0" w:space="0" w:color="auto"/>
      </w:divBdr>
    </w:div>
    <w:div w:id="864248563">
      <w:bodyDiv w:val="1"/>
      <w:marLeft w:val="0"/>
      <w:marRight w:val="0"/>
      <w:marTop w:val="0"/>
      <w:marBottom w:val="0"/>
      <w:divBdr>
        <w:top w:val="none" w:sz="0" w:space="0" w:color="auto"/>
        <w:left w:val="none" w:sz="0" w:space="0" w:color="auto"/>
        <w:bottom w:val="none" w:sz="0" w:space="0" w:color="auto"/>
        <w:right w:val="none" w:sz="0" w:space="0" w:color="auto"/>
      </w:divBdr>
    </w:div>
    <w:div w:id="868295542">
      <w:bodyDiv w:val="1"/>
      <w:marLeft w:val="0"/>
      <w:marRight w:val="0"/>
      <w:marTop w:val="0"/>
      <w:marBottom w:val="0"/>
      <w:divBdr>
        <w:top w:val="none" w:sz="0" w:space="0" w:color="auto"/>
        <w:left w:val="none" w:sz="0" w:space="0" w:color="auto"/>
        <w:bottom w:val="none" w:sz="0" w:space="0" w:color="auto"/>
        <w:right w:val="none" w:sz="0" w:space="0" w:color="auto"/>
      </w:divBdr>
    </w:div>
    <w:div w:id="880745776">
      <w:bodyDiv w:val="1"/>
      <w:marLeft w:val="0"/>
      <w:marRight w:val="0"/>
      <w:marTop w:val="0"/>
      <w:marBottom w:val="0"/>
      <w:divBdr>
        <w:top w:val="none" w:sz="0" w:space="0" w:color="auto"/>
        <w:left w:val="none" w:sz="0" w:space="0" w:color="auto"/>
        <w:bottom w:val="none" w:sz="0" w:space="0" w:color="auto"/>
        <w:right w:val="none" w:sz="0" w:space="0" w:color="auto"/>
      </w:divBdr>
    </w:div>
    <w:div w:id="881358755">
      <w:bodyDiv w:val="1"/>
      <w:marLeft w:val="0"/>
      <w:marRight w:val="0"/>
      <w:marTop w:val="0"/>
      <w:marBottom w:val="0"/>
      <w:divBdr>
        <w:top w:val="none" w:sz="0" w:space="0" w:color="auto"/>
        <w:left w:val="none" w:sz="0" w:space="0" w:color="auto"/>
        <w:bottom w:val="none" w:sz="0" w:space="0" w:color="auto"/>
        <w:right w:val="none" w:sz="0" w:space="0" w:color="auto"/>
      </w:divBdr>
    </w:div>
    <w:div w:id="883297014">
      <w:bodyDiv w:val="1"/>
      <w:marLeft w:val="0"/>
      <w:marRight w:val="0"/>
      <w:marTop w:val="0"/>
      <w:marBottom w:val="0"/>
      <w:divBdr>
        <w:top w:val="none" w:sz="0" w:space="0" w:color="auto"/>
        <w:left w:val="none" w:sz="0" w:space="0" w:color="auto"/>
        <w:bottom w:val="none" w:sz="0" w:space="0" w:color="auto"/>
        <w:right w:val="none" w:sz="0" w:space="0" w:color="auto"/>
      </w:divBdr>
    </w:div>
    <w:div w:id="889418615">
      <w:bodyDiv w:val="1"/>
      <w:marLeft w:val="0"/>
      <w:marRight w:val="0"/>
      <w:marTop w:val="0"/>
      <w:marBottom w:val="0"/>
      <w:divBdr>
        <w:top w:val="none" w:sz="0" w:space="0" w:color="auto"/>
        <w:left w:val="none" w:sz="0" w:space="0" w:color="auto"/>
        <w:bottom w:val="none" w:sz="0" w:space="0" w:color="auto"/>
        <w:right w:val="none" w:sz="0" w:space="0" w:color="auto"/>
      </w:divBdr>
    </w:div>
    <w:div w:id="894391004">
      <w:bodyDiv w:val="1"/>
      <w:marLeft w:val="0"/>
      <w:marRight w:val="0"/>
      <w:marTop w:val="0"/>
      <w:marBottom w:val="0"/>
      <w:divBdr>
        <w:top w:val="none" w:sz="0" w:space="0" w:color="auto"/>
        <w:left w:val="none" w:sz="0" w:space="0" w:color="auto"/>
        <w:bottom w:val="none" w:sz="0" w:space="0" w:color="auto"/>
        <w:right w:val="none" w:sz="0" w:space="0" w:color="auto"/>
      </w:divBdr>
    </w:div>
    <w:div w:id="899442680">
      <w:bodyDiv w:val="1"/>
      <w:marLeft w:val="0"/>
      <w:marRight w:val="0"/>
      <w:marTop w:val="0"/>
      <w:marBottom w:val="0"/>
      <w:divBdr>
        <w:top w:val="none" w:sz="0" w:space="0" w:color="auto"/>
        <w:left w:val="none" w:sz="0" w:space="0" w:color="auto"/>
        <w:bottom w:val="none" w:sz="0" w:space="0" w:color="auto"/>
        <w:right w:val="none" w:sz="0" w:space="0" w:color="auto"/>
      </w:divBdr>
    </w:div>
    <w:div w:id="904679103">
      <w:bodyDiv w:val="1"/>
      <w:marLeft w:val="0"/>
      <w:marRight w:val="0"/>
      <w:marTop w:val="0"/>
      <w:marBottom w:val="0"/>
      <w:divBdr>
        <w:top w:val="none" w:sz="0" w:space="0" w:color="auto"/>
        <w:left w:val="none" w:sz="0" w:space="0" w:color="auto"/>
        <w:bottom w:val="none" w:sz="0" w:space="0" w:color="auto"/>
        <w:right w:val="none" w:sz="0" w:space="0" w:color="auto"/>
      </w:divBdr>
    </w:div>
    <w:div w:id="911550358">
      <w:bodyDiv w:val="1"/>
      <w:marLeft w:val="0"/>
      <w:marRight w:val="0"/>
      <w:marTop w:val="0"/>
      <w:marBottom w:val="0"/>
      <w:divBdr>
        <w:top w:val="none" w:sz="0" w:space="0" w:color="auto"/>
        <w:left w:val="none" w:sz="0" w:space="0" w:color="auto"/>
        <w:bottom w:val="none" w:sz="0" w:space="0" w:color="auto"/>
        <w:right w:val="none" w:sz="0" w:space="0" w:color="auto"/>
      </w:divBdr>
    </w:div>
    <w:div w:id="928348679">
      <w:bodyDiv w:val="1"/>
      <w:marLeft w:val="0"/>
      <w:marRight w:val="0"/>
      <w:marTop w:val="0"/>
      <w:marBottom w:val="0"/>
      <w:divBdr>
        <w:top w:val="none" w:sz="0" w:space="0" w:color="auto"/>
        <w:left w:val="none" w:sz="0" w:space="0" w:color="auto"/>
        <w:bottom w:val="none" w:sz="0" w:space="0" w:color="auto"/>
        <w:right w:val="none" w:sz="0" w:space="0" w:color="auto"/>
      </w:divBdr>
    </w:div>
    <w:div w:id="933705351">
      <w:bodyDiv w:val="1"/>
      <w:marLeft w:val="0"/>
      <w:marRight w:val="0"/>
      <w:marTop w:val="0"/>
      <w:marBottom w:val="0"/>
      <w:divBdr>
        <w:top w:val="none" w:sz="0" w:space="0" w:color="auto"/>
        <w:left w:val="none" w:sz="0" w:space="0" w:color="auto"/>
        <w:bottom w:val="none" w:sz="0" w:space="0" w:color="auto"/>
        <w:right w:val="none" w:sz="0" w:space="0" w:color="auto"/>
      </w:divBdr>
    </w:div>
    <w:div w:id="938834788">
      <w:bodyDiv w:val="1"/>
      <w:marLeft w:val="0"/>
      <w:marRight w:val="0"/>
      <w:marTop w:val="0"/>
      <w:marBottom w:val="0"/>
      <w:divBdr>
        <w:top w:val="none" w:sz="0" w:space="0" w:color="auto"/>
        <w:left w:val="none" w:sz="0" w:space="0" w:color="auto"/>
        <w:bottom w:val="none" w:sz="0" w:space="0" w:color="auto"/>
        <w:right w:val="none" w:sz="0" w:space="0" w:color="auto"/>
      </w:divBdr>
    </w:div>
    <w:div w:id="941382373">
      <w:bodyDiv w:val="1"/>
      <w:marLeft w:val="0"/>
      <w:marRight w:val="0"/>
      <w:marTop w:val="0"/>
      <w:marBottom w:val="0"/>
      <w:divBdr>
        <w:top w:val="none" w:sz="0" w:space="0" w:color="auto"/>
        <w:left w:val="none" w:sz="0" w:space="0" w:color="auto"/>
        <w:bottom w:val="none" w:sz="0" w:space="0" w:color="auto"/>
        <w:right w:val="none" w:sz="0" w:space="0" w:color="auto"/>
      </w:divBdr>
    </w:div>
    <w:div w:id="943414464">
      <w:bodyDiv w:val="1"/>
      <w:marLeft w:val="0"/>
      <w:marRight w:val="0"/>
      <w:marTop w:val="0"/>
      <w:marBottom w:val="0"/>
      <w:divBdr>
        <w:top w:val="none" w:sz="0" w:space="0" w:color="auto"/>
        <w:left w:val="none" w:sz="0" w:space="0" w:color="auto"/>
        <w:bottom w:val="none" w:sz="0" w:space="0" w:color="auto"/>
        <w:right w:val="none" w:sz="0" w:space="0" w:color="auto"/>
      </w:divBdr>
    </w:div>
    <w:div w:id="948046153">
      <w:bodyDiv w:val="1"/>
      <w:marLeft w:val="0"/>
      <w:marRight w:val="0"/>
      <w:marTop w:val="0"/>
      <w:marBottom w:val="0"/>
      <w:divBdr>
        <w:top w:val="none" w:sz="0" w:space="0" w:color="auto"/>
        <w:left w:val="none" w:sz="0" w:space="0" w:color="auto"/>
        <w:bottom w:val="none" w:sz="0" w:space="0" w:color="auto"/>
        <w:right w:val="none" w:sz="0" w:space="0" w:color="auto"/>
      </w:divBdr>
    </w:div>
    <w:div w:id="967664397">
      <w:bodyDiv w:val="1"/>
      <w:marLeft w:val="0"/>
      <w:marRight w:val="0"/>
      <w:marTop w:val="0"/>
      <w:marBottom w:val="0"/>
      <w:divBdr>
        <w:top w:val="none" w:sz="0" w:space="0" w:color="auto"/>
        <w:left w:val="none" w:sz="0" w:space="0" w:color="auto"/>
        <w:bottom w:val="none" w:sz="0" w:space="0" w:color="auto"/>
        <w:right w:val="none" w:sz="0" w:space="0" w:color="auto"/>
      </w:divBdr>
    </w:div>
    <w:div w:id="969440683">
      <w:bodyDiv w:val="1"/>
      <w:marLeft w:val="0"/>
      <w:marRight w:val="0"/>
      <w:marTop w:val="0"/>
      <w:marBottom w:val="0"/>
      <w:divBdr>
        <w:top w:val="none" w:sz="0" w:space="0" w:color="auto"/>
        <w:left w:val="none" w:sz="0" w:space="0" w:color="auto"/>
        <w:bottom w:val="none" w:sz="0" w:space="0" w:color="auto"/>
        <w:right w:val="none" w:sz="0" w:space="0" w:color="auto"/>
      </w:divBdr>
    </w:div>
    <w:div w:id="971447181">
      <w:bodyDiv w:val="1"/>
      <w:marLeft w:val="0"/>
      <w:marRight w:val="0"/>
      <w:marTop w:val="0"/>
      <w:marBottom w:val="0"/>
      <w:divBdr>
        <w:top w:val="none" w:sz="0" w:space="0" w:color="auto"/>
        <w:left w:val="none" w:sz="0" w:space="0" w:color="auto"/>
        <w:bottom w:val="none" w:sz="0" w:space="0" w:color="auto"/>
        <w:right w:val="none" w:sz="0" w:space="0" w:color="auto"/>
      </w:divBdr>
    </w:div>
    <w:div w:id="981615810">
      <w:bodyDiv w:val="1"/>
      <w:marLeft w:val="0"/>
      <w:marRight w:val="0"/>
      <w:marTop w:val="0"/>
      <w:marBottom w:val="0"/>
      <w:divBdr>
        <w:top w:val="none" w:sz="0" w:space="0" w:color="auto"/>
        <w:left w:val="none" w:sz="0" w:space="0" w:color="auto"/>
        <w:bottom w:val="none" w:sz="0" w:space="0" w:color="auto"/>
        <w:right w:val="none" w:sz="0" w:space="0" w:color="auto"/>
      </w:divBdr>
    </w:div>
    <w:div w:id="984437098">
      <w:bodyDiv w:val="1"/>
      <w:marLeft w:val="0"/>
      <w:marRight w:val="0"/>
      <w:marTop w:val="0"/>
      <w:marBottom w:val="0"/>
      <w:divBdr>
        <w:top w:val="none" w:sz="0" w:space="0" w:color="auto"/>
        <w:left w:val="none" w:sz="0" w:space="0" w:color="auto"/>
        <w:bottom w:val="none" w:sz="0" w:space="0" w:color="auto"/>
        <w:right w:val="none" w:sz="0" w:space="0" w:color="auto"/>
      </w:divBdr>
    </w:div>
    <w:div w:id="986204992">
      <w:bodyDiv w:val="1"/>
      <w:marLeft w:val="0"/>
      <w:marRight w:val="0"/>
      <w:marTop w:val="0"/>
      <w:marBottom w:val="0"/>
      <w:divBdr>
        <w:top w:val="none" w:sz="0" w:space="0" w:color="auto"/>
        <w:left w:val="none" w:sz="0" w:space="0" w:color="auto"/>
        <w:bottom w:val="none" w:sz="0" w:space="0" w:color="auto"/>
        <w:right w:val="none" w:sz="0" w:space="0" w:color="auto"/>
      </w:divBdr>
    </w:div>
    <w:div w:id="986544971">
      <w:bodyDiv w:val="1"/>
      <w:marLeft w:val="0"/>
      <w:marRight w:val="0"/>
      <w:marTop w:val="0"/>
      <w:marBottom w:val="0"/>
      <w:divBdr>
        <w:top w:val="none" w:sz="0" w:space="0" w:color="auto"/>
        <w:left w:val="none" w:sz="0" w:space="0" w:color="auto"/>
        <w:bottom w:val="none" w:sz="0" w:space="0" w:color="auto"/>
        <w:right w:val="none" w:sz="0" w:space="0" w:color="auto"/>
      </w:divBdr>
    </w:div>
    <w:div w:id="1002513440">
      <w:bodyDiv w:val="1"/>
      <w:marLeft w:val="0"/>
      <w:marRight w:val="0"/>
      <w:marTop w:val="0"/>
      <w:marBottom w:val="0"/>
      <w:divBdr>
        <w:top w:val="none" w:sz="0" w:space="0" w:color="auto"/>
        <w:left w:val="none" w:sz="0" w:space="0" w:color="auto"/>
        <w:bottom w:val="none" w:sz="0" w:space="0" w:color="auto"/>
        <w:right w:val="none" w:sz="0" w:space="0" w:color="auto"/>
      </w:divBdr>
    </w:div>
    <w:div w:id="1006202264">
      <w:bodyDiv w:val="1"/>
      <w:marLeft w:val="0"/>
      <w:marRight w:val="0"/>
      <w:marTop w:val="0"/>
      <w:marBottom w:val="0"/>
      <w:divBdr>
        <w:top w:val="none" w:sz="0" w:space="0" w:color="auto"/>
        <w:left w:val="none" w:sz="0" w:space="0" w:color="auto"/>
        <w:bottom w:val="none" w:sz="0" w:space="0" w:color="auto"/>
        <w:right w:val="none" w:sz="0" w:space="0" w:color="auto"/>
      </w:divBdr>
    </w:div>
    <w:div w:id="1022904232">
      <w:bodyDiv w:val="1"/>
      <w:marLeft w:val="0"/>
      <w:marRight w:val="0"/>
      <w:marTop w:val="0"/>
      <w:marBottom w:val="0"/>
      <w:divBdr>
        <w:top w:val="none" w:sz="0" w:space="0" w:color="auto"/>
        <w:left w:val="none" w:sz="0" w:space="0" w:color="auto"/>
        <w:bottom w:val="none" w:sz="0" w:space="0" w:color="auto"/>
        <w:right w:val="none" w:sz="0" w:space="0" w:color="auto"/>
      </w:divBdr>
    </w:div>
    <w:div w:id="1035158406">
      <w:bodyDiv w:val="1"/>
      <w:marLeft w:val="0"/>
      <w:marRight w:val="0"/>
      <w:marTop w:val="0"/>
      <w:marBottom w:val="0"/>
      <w:divBdr>
        <w:top w:val="none" w:sz="0" w:space="0" w:color="auto"/>
        <w:left w:val="none" w:sz="0" w:space="0" w:color="auto"/>
        <w:bottom w:val="none" w:sz="0" w:space="0" w:color="auto"/>
        <w:right w:val="none" w:sz="0" w:space="0" w:color="auto"/>
      </w:divBdr>
    </w:div>
    <w:div w:id="1038822466">
      <w:bodyDiv w:val="1"/>
      <w:marLeft w:val="0"/>
      <w:marRight w:val="0"/>
      <w:marTop w:val="0"/>
      <w:marBottom w:val="0"/>
      <w:divBdr>
        <w:top w:val="none" w:sz="0" w:space="0" w:color="auto"/>
        <w:left w:val="none" w:sz="0" w:space="0" w:color="auto"/>
        <w:bottom w:val="none" w:sz="0" w:space="0" w:color="auto"/>
        <w:right w:val="none" w:sz="0" w:space="0" w:color="auto"/>
      </w:divBdr>
    </w:div>
    <w:div w:id="1047874814">
      <w:bodyDiv w:val="1"/>
      <w:marLeft w:val="0"/>
      <w:marRight w:val="0"/>
      <w:marTop w:val="0"/>
      <w:marBottom w:val="0"/>
      <w:divBdr>
        <w:top w:val="none" w:sz="0" w:space="0" w:color="auto"/>
        <w:left w:val="none" w:sz="0" w:space="0" w:color="auto"/>
        <w:bottom w:val="none" w:sz="0" w:space="0" w:color="auto"/>
        <w:right w:val="none" w:sz="0" w:space="0" w:color="auto"/>
      </w:divBdr>
    </w:div>
    <w:div w:id="1050225469">
      <w:bodyDiv w:val="1"/>
      <w:marLeft w:val="0"/>
      <w:marRight w:val="0"/>
      <w:marTop w:val="0"/>
      <w:marBottom w:val="0"/>
      <w:divBdr>
        <w:top w:val="none" w:sz="0" w:space="0" w:color="auto"/>
        <w:left w:val="none" w:sz="0" w:space="0" w:color="auto"/>
        <w:bottom w:val="none" w:sz="0" w:space="0" w:color="auto"/>
        <w:right w:val="none" w:sz="0" w:space="0" w:color="auto"/>
      </w:divBdr>
    </w:div>
    <w:div w:id="1051077462">
      <w:bodyDiv w:val="1"/>
      <w:marLeft w:val="0"/>
      <w:marRight w:val="0"/>
      <w:marTop w:val="0"/>
      <w:marBottom w:val="0"/>
      <w:divBdr>
        <w:top w:val="none" w:sz="0" w:space="0" w:color="auto"/>
        <w:left w:val="none" w:sz="0" w:space="0" w:color="auto"/>
        <w:bottom w:val="none" w:sz="0" w:space="0" w:color="auto"/>
        <w:right w:val="none" w:sz="0" w:space="0" w:color="auto"/>
      </w:divBdr>
    </w:div>
    <w:div w:id="1057358014">
      <w:bodyDiv w:val="1"/>
      <w:marLeft w:val="0"/>
      <w:marRight w:val="0"/>
      <w:marTop w:val="0"/>
      <w:marBottom w:val="0"/>
      <w:divBdr>
        <w:top w:val="none" w:sz="0" w:space="0" w:color="auto"/>
        <w:left w:val="none" w:sz="0" w:space="0" w:color="auto"/>
        <w:bottom w:val="none" w:sz="0" w:space="0" w:color="auto"/>
        <w:right w:val="none" w:sz="0" w:space="0" w:color="auto"/>
      </w:divBdr>
    </w:div>
    <w:div w:id="1058743465">
      <w:bodyDiv w:val="1"/>
      <w:marLeft w:val="0"/>
      <w:marRight w:val="0"/>
      <w:marTop w:val="0"/>
      <w:marBottom w:val="0"/>
      <w:divBdr>
        <w:top w:val="none" w:sz="0" w:space="0" w:color="auto"/>
        <w:left w:val="none" w:sz="0" w:space="0" w:color="auto"/>
        <w:bottom w:val="none" w:sz="0" w:space="0" w:color="auto"/>
        <w:right w:val="none" w:sz="0" w:space="0" w:color="auto"/>
      </w:divBdr>
    </w:div>
    <w:div w:id="1069184134">
      <w:bodyDiv w:val="1"/>
      <w:marLeft w:val="0"/>
      <w:marRight w:val="0"/>
      <w:marTop w:val="0"/>
      <w:marBottom w:val="0"/>
      <w:divBdr>
        <w:top w:val="none" w:sz="0" w:space="0" w:color="auto"/>
        <w:left w:val="none" w:sz="0" w:space="0" w:color="auto"/>
        <w:bottom w:val="none" w:sz="0" w:space="0" w:color="auto"/>
        <w:right w:val="none" w:sz="0" w:space="0" w:color="auto"/>
      </w:divBdr>
    </w:div>
    <w:div w:id="1070731402">
      <w:bodyDiv w:val="1"/>
      <w:marLeft w:val="0"/>
      <w:marRight w:val="0"/>
      <w:marTop w:val="0"/>
      <w:marBottom w:val="0"/>
      <w:divBdr>
        <w:top w:val="none" w:sz="0" w:space="0" w:color="auto"/>
        <w:left w:val="none" w:sz="0" w:space="0" w:color="auto"/>
        <w:bottom w:val="none" w:sz="0" w:space="0" w:color="auto"/>
        <w:right w:val="none" w:sz="0" w:space="0" w:color="auto"/>
      </w:divBdr>
    </w:div>
    <w:div w:id="1070733610">
      <w:bodyDiv w:val="1"/>
      <w:marLeft w:val="0"/>
      <w:marRight w:val="0"/>
      <w:marTop w:val="0"/>
      <w:marBottom w:val="0"/>
      <w:divBdr>
        <w:top w:val="none" w:sz="0" w:space="0" w:color="auto"/>
        <w:left w:val="none" w:sz="0" w:space="0" w:color="auto"/>
        <w:bottom w:val="none" w:sz="0" w:space="0" w:color="auto"/>
        <w:right w:val="none" w:sz="0" w:space="0" w:color="auto"/>
      </w:divBdr>
    </w:div>
    <w:div w:id="1075516411">
      <w:bodyDiv w:val="1"/>
      <w:marLeft w:val="0"/>
      <w:marRight w:val="0"/>
      <w:marTop w:val="0"/>
      <w:marBottom w:val="0"/>
      <w:divBdr>
        <w:top w:val="none" w:sz="0" w:space="0" w:color="auto"/>
        <w:left w:val="none" w:sz="0" w:space="0" w:color="auto"/>
        <w:bottom w:val="none" w:sz="0" w:space="0" w:color="auto"/>
        <w:right w:val="none" w:sz="0" w:space="0" w:color="auto"/>
      </w:divBdr>
    </w:div>
    <w:div w:id="1075782566">
      <w:bodyDiv w:val="1"/>
      <w:marLeft w:val="0"/>
      <w:marRight w:val="0"/>
      <w:marTop w:val="0"/>
      <w:marBottom w:val="0"/>
      <w:divBdr>
        <w:top w:val="none" w:sz="0" w:space="0" w:color="auto"/>
        <w:left w:val="none" w:sz="0" w:space="0" w:color="auto"/>
        <w:bottom w:val="none" w:sz="0" w:space="0" w:color="auto"/>
        <w:right w:val="none" w:sz="0" w:space="0" w:color="auto"/>
      </w:divBdr>
    </w:div>
    <w:div w:id="1085105019">
      <w:bodyDiv w:val="1"/>
      <w:marLeft w:val="0"/>
      <w:marRight w:val="0"/>
      <w:marTop w:val="0"/>
      <w:marBottom w:val="0"/>
      <w:divBdr>
        <w:top w:val="none" w:sz="0" w:space="0" w:color="auto"/>
        <w:left w:val="none" w:sz="0" w:space="0" w:color="auto"/>
        <w:bottom w:val="none" w:sz="0" w:space="0" w:color="auto"/>
        <w:right w:val="none" w:sz="0" w:space="0" w:color="auto"/>
      </w:divBdr>
    </w:div>
    <w:div w:id="1094664173">
      <w:bodyDiv w:val="1"/>
      <w:marLeft w:val="0"/>
      <w:marRight w:val="0"/>
      <w:marTop w:val="0"/>
      <w:marBottom w:val="0"/>
      <w:divBdr>
        <w:top w:val="none" w:sz="0" w:space="0" w:color="auto"/>
        <w:left w:val="none" w:sz="0" w:space="0" w:color="auto"/>
        <w:bottom w:val="none" w:sz="0" w:space="0" w:color="auto"/>
        <w:right w:val="none" w:sz="0" w:space="0" w:color="auto"/>
      </w:divBdr>
    </w:div>
    <w:div w:id="1097864717">
      <w:bodyDiv w:val="1"/>
      <w:marLeft w:val="0"/>
      <w:marRight w:val="0"/>
      <w:marTop w:val="0"/>
      <w:marBottom w:val="0"/>
      <w:divBdr>
        <w:top w:val="none" w:sz="0" w:space="0" w:color="auto"/>
        <w:left w:val="none" w:sz="0" w:space="0" w:color="auto"/>
        <w:bottom w:val="none" w:sz="0" w:space="0" w:color="auto"/>
        <w:right w:val="none" w:sz="0" w:space="0" w:color="auto"/>
      </w:divBdr>
    </w:div>
    <w:div w:id="1098911954">
      <w:bodyDiv w:val="1"/>
      <w:marLeft w:val="0"/>
      <w:marRight w:val="0"/>
      <w:marTop w:val="0"/>
      <w:marBottom w:val="0"/>
      <w:divBdr>
        <w:top w:val="none" w:sz="0" w:space="0" w:color="auto"/>
        <w:left w:val="none" w:sz="0" w:space="0" w:color="auto"/>
        <w:bottom w:val="none" w:sz="0" w:space="0" w:color="auto"/>
        <w:right w:val="none" w:sz="0" w:space="0" w:color="auto"/>
      </w:divBdr>
    </w:div>
    <w:div w:id="1101487201">
      <w:bodyDiv w:val="1"/>
      <w:marLeft w:val="0"/>
      <w:marRight w:val="0"/>
      <w:marTop w:val="0"/>
      <w:marBottom w:val="0"/>
      <w:divBdr>
        <w:top w:val="none" w:sz="0" w:space="0" w:color="auto"/>
        <w:left w:val="none" w:sz="0" w:space="0" w:color="auto"/>
        <w:bottom w:val="none" w:sz="0" w:space="0" w:color="auto"/>
        <w:right w:val="none" w:sz="0" w:space="0" w:color="auto"/>
      </w:divBdr>
    </w:div>
    <w:div w:id="1110584686">
      <w:bodyDiv w:val="1"/>
      <w:marLeft w:val="0"/>
      <w:marRight w:val="0"/>
      <w:marTop w:val="0"/>
      <w:marBottom w:val="0"/>
      <w:divBdr>
        <w:top w:val="none" w:sz="0" w:space="0" w:color="auto"/>
        <w:left w:val="none" w:sz="0" w:space="0" w:color="auto"/>
        <w:bottom w:val="none" w:sz="0" w:space="0" w:color="auto"/>
        <w:right w:val="none" w:sz="0" w:space="0" w:color="auto"/>
      </w:divBdr>
    </w:div>
    <w:div w:id="1110591806">
      <w:bodyDiv w:val="1"/>
      <w:marLeft w:val="0"/>
      <w:marRight w:val="0"/>
      <w:marTop w:val="0"/>
      <w:marBottom w:val="0"/>
      <w:divBdr>
        <w:top w:val="none" w:sz="0" w:space="0" w:color="auto"/>
        <w:left w:val="none" w:sz="0" w:space="0" w:color="auto"/>
        <w:bottom w:val="none" w:sz="0" w:space="0" w:color="auto"/>
        <w:right w:val="none" w:sz="0" w:space="0" w:color="auto"/>
      </w:divBdr>
    </w:div>
    <w:div w:id="1131704137">
      <w:bodyDiv w:val="1"/>
      <w:marLeft w:val="0"/>
      <w:marRight w:val="0"/>
      <w:marTop w:val="0"/>
      <w:marBottom w:val="0"/>
      <w:divBdr>
        <w:top w:val="none" w:sz="0" w:space="0" w:color="auto"/>
        <w:left w:val="none" w:sz="0" w:space="0" w:color="auto"/>
        <w:bottom w:val="none" w:sz="0" w:space="0" w:color="auto"/>
        <w:right w:val="none" w:sz="0" w:space="0" w:color="auto"/>
      </w:divBdr>
    </w:div>
    <w:div w:id="1134524852">
      <w:bodyDiv w:val="1"/>
      <w:marLeft w:val="0"/>
      <w:marRight w:val="0"/>
      <w:marTop w:val="0"/>
      <w:marBottom w:val="0"/>
      <w:divBdr>
        <w:top w:val="none" w:sz="0" w:space="0" w:color="auto"/>
        <w:left w:val="none" w:sz="0" w:space="0" w:color="auto"/>
        <w:bottom w:val="none" w:sz="0" w:space="0" w:color="auto"/>
        <w:right w:val="none" w:sz="0" w:space="0" w:color="auto"/>
      </w:divBdr>
    </w:div>
    <w:div w:id="1146118322">
      <w:bodyDiv w:val="1"/>
      <w:marLeft w:val="0"/>
      <w:marRight w:val="0"/>
      <w:marTop w:val="0"/>
      <w:marBottom w:val="0"/>
      <w:divBdr>
        <w:top w:val="none" w:sz="0" w:space="0" w:color="auto"/>
        <w:left w:val="none" w:sz="0" w:space="0" w:color="auto"/>
        <w:bottom w:val="none" w:sz="0" w:space="0" w:color="auto"/>
        <w:right w:val="none" w:sz="0" w:space="0" w:color="auto"/>
      </w:divBdr>
    </w:div>
    <w:div w:id="1149441025">
      <w:bodyDiv w:val="1"/>
      <w:marLeft w:val="0"/>
      <w:marRight w:val="0"/>
      <w:marTop w:val="0"/>
      <w:marBottom w:val="0"/>
      <w:divBdr>
        <w:top w:val="none" w:sz="0" w:space="0" w:color="auto"/>
        <w:left w:val="none" w:sz="0" w:space="0" w:color="auto"/>
        <w:bottom w:val="none" w:sz="0" w:space="0" w:color="auto"/>
        <w:right w:val="none" w:sz="0" w:space="0" w:color="auto"/>
      </w:divBdr>
    </w:div>
    <w:div w:id="1161896617">
      <w:bodyDiv w:val="1"/>
      <w:marLeft w:val="0"/>
      <w:marRight w:val="0"/>
      <w:marTop w:val="0"/>
      <w:marBottom w:val="0"/>
      <w:divBdr>
        <w:top w:val="none" w:sz="0" w:space="0" w:color="auto"/>
        <w:left w:val="none" w:sz="0" w:space="0" w:color="auto"/>
        <w:bottom w:val="none" w:sz="0" w:space="0" w:color="auto"/>
        <w:right w:val="none" w:sz="0" w:space="0" w:color="auto"/>
      </w:divBdr>
    </w:div>
    <w:div w:id="1172330736">
      <w:bodyDiv w:val="1"/>
      <w:marLeft w:val="0"/>
      <w:marRight w:val="0"/>
      <w:marTop w:val="0"/>
      <w:marBottom w:val="0"/>
      <w:divBdr>
        <w:top w:val="none" w:sz="0" w:space="0" w:color="auto"/>
        <w:left w:val="none" w:sz="0" w:space="0" w:color="auto"/>
        <w:bottom w:val="none" w:sz="0" w:space="0" w:color="auto"/>
        <w:right w:val="none" w:sz="0" w:space="0" w:color="auto"/>
      </w:divBdr>
    </w:div>
    <w:div w:id="1175413814">
      <w:bodyDiv w:val="1"/>
      <w:marLeft w:val="0"/>
      <w:marRight w:val="0"/>
      <w:marTop w:val="0"/>
      <w:marBottom w:val="0"/>
      <w:divBdr>
        <w:top w:val="none" w:sz="0" w:space="0" w:color="auto"/>
        <w:left w:val="none" w:sz="0" w:space="0" w:color="auto"/>
        <w:bottom w:val="none" w:sz="0" w:space="0" w:color="auto"/>
        <w:right w:val="none" w:sz="0" w:space="0" w:color="auto"/>
      </w:divBdr>
    </w:div>
    <w:div w:id="1180974114">
      <w:bodyDiv w:val="1"/>
      <w:marLeft w:val="0"/>
      <w:marRight w:val="0"/>
      <w:marTop w:val="0"/>
      <w:marBottom w:val="0"/>
      <w:divBdr>
        <w:top w:val="none" w:sz="0" w:space="0" w:color="auto"/>
        <w:left w:val="none" w:sz="0" w:space="0" w:color="auto"/>
        <w:bottom w:val="none" w:sz="0" w:space="0" w:color="auto"/>
        <w:right w:val="none" w:sz="0" w:space="0" w:color="auto"/>
      </w:divBdr>
    </w:div>
    <w:div w:id="1182351870">
      <w:bodyDiv w:val="1"/>
      <w:marLeft w:val="0"/>
      <w:marRight w:val="0"/>
      <w:marTop w:val="0"/>
      <w:marBottom w:val="0"/>
      <w:divBdr>
        <w:top w:val="none" w:sz="0" w:space="0" w:color="auto"/>
        <w:left w:val="none" w:sz="0" w:space="0" w:color="auto"/>
        <w:bottom w:val="none" w:sz="0" w:space="0" w:color="auto"/>
        <w:right w:val="none" w:sz="0" w:space="0" w:color="auto"/>
      </w:divBdr>
    </w:div>
    <w:div w:id="1187598105">
      <w:bodyDiv w:val="1"/>
      <w:marLeft w:val="0"/>
      <w:marRight w:val="0"/>
      <w:marTop w:val="0"/>
      <w:marBottom w:val="0"/>
      <w:divBdr>
        <w:top w:val="none" w:sz="0" w:space="0" w:color="auto"/>
        <w:left w:val="none" w:sz="0" w:space="0" w:color="auto"/>
        <w:bottom w:val="none" w:sz="0" w:space="0" w:color="auto"/>
        <w:right w:val="none" w:sz="0" w:space="0" w:color="auto"/>
      </w:divBdr>
    </w:div>
    <w:div w:id="1190997205">
      <w:bodyDiv w:val="1"/>
      <w:marLeft w:val="0"/>
      <w:marRight w:val="0"/>
      <w:marTop w:val="0"/>
      <w:marBottom w:val="0"/>
      <w:divBdr>
        <w:top w:val="none" w:sz="0" w:space="0" w:color="auto"/>
        <w:left w:val="none" w:sz="0" w:space="0" w:color="auto"/>
        <w:bottom w:val="none" w:sz="0" w:space="0" w:color="auto"/>
        <w:right w:val="none" w:sz="0" w:space="0" w:color="auto"/>
      </w:divBdr>
    </w:div>
    <w:div w:id="1191600899">
      <w:bodyDiv w:val="1"/>
      <w:marLeft w:val="0"/>
      <w:marRight w:val="0"/>
      <w:marTop w:val="0"/>
      <w:marBottom w:val="0"/>
      <w:divBdr>
        <w:top w:val="none" w:sz="0" w:space="0" w:color="auto"/>
        <w:left w:val="none" w:sz="0" w:space="0" w:color="auto"/>
        <w:bottom w:val="none" w:sz="0" w:space="0" w:color="auto"/>
        <w:right w:val="none" w:sz="0" w:space="0" w:color="auto"/>
      </w:divBdr>
    </w:div>
    <w:div w:id="1194615362">
      <w:bodyDiv w:val="1"/>
      <w:marLeft w:val="0"/>
      <w:marRight w:val="0"/>
      <w:marTop w:val="0"/>
      <w:marBottom w:val="0"/>
      <w:divBdr>
        <w:top w:val="none" w:sz="0" w:space="0" w:color="auto"/>
        <w:left w:val="none" w:sz="0" w:space="0" w:color="auto"/>
        <w:bottom w:val="none" w:sz="0" w:space="0" w:color="auto"/>
        <w:right w:val="none" w:sz="0" w:space="0" w:color="auto"/>
      </w:divBdr>
    </w:div>
    <w:div w:id="1230575854">
      <w:bodyDiv w:val="1"/>
      <w:marLeft w:val="0"/>
      <w:marRight w:val="0"/>
      <w:marTop w:val="0"/>
      <w:marBottom w:val="0"/>
      <w:divBdr>
        <w:top w:val="none" w:sz="0" w:space="0" w:color="auto"/>
        <w:left w:val="none" w:sz="0" w:space="0" w:color="auto"/>
        <w:bottom w:val="none" w:sz="0" w:space="0" w:color="auto"/>
        <w:right w:val="none" w:sz="0" w:space="0" w:color="auto"/>
      </w:divBdr>
    </w:div>
    <w:div w:id="1237470171">
      <w:bodyDiv w:val="1"/>
      <w:marLeft w:val="0"/>
      <w:marRight w:val="0"/>
      <w:marTop w:val="0"/>
      <w:marBottom w:val="0"/>
      <w:divBdr>
        <w:top w:val="none" w:sz="0" w:space="0" w:color="auto"/>
        <w:left w:val="none" w:sz="0" w:space="0" w:color="auto"/>
        <w:bottom w:val="none" w:sz="0" w:space="0" w:color="auto"/>
        <w:right w:val="none" w:sz="0" w:space="0" w:color="auto"/>
      </w:divBdr>
    </w:div>
    <w:div w:id="1241787621">
      <w:bodyDiv w:val="1"/>
      <w:marLeft w:val="0"/>
      <w:marRight w:val="0"/>
      <w:marTop w:val="0"/>
      <w:marBottom w:val="0"/>
      <w:divBdr>
        <w:top w:val="none" w:sz="0" w:space="0" w:color="auto"/>
        <w:left w:val="none" w:sz="0" w:space="0" w:color="auto"/>
        <w:bottom w:val="none" w:sz="0" w:space="0" w:color="auto"/>
        <w:right w:val="none" w:sz="0" w:space="0" w:color="auto"/>
      </w:divBdr>
    </w:div>
    <w:div w:id="1242761516">
      <w:bodyDiv w:val="1"/>
      <w:marLeft w:val="0"/>
      <w:marRight w:val="0"/>
      <w:marTop w:val="0"/>
      <w:marBottom w:val="0"/>
      <w:divBdr>
        <w:top w:val="none" w:sz="0" w:space="0" w:color="auto"/>
        <w:left w:val="none" w:sz="0" w:space="0" w:color="auto"/>
        <w:bottom w:val="none" w:sz="0" w:space="0" w:color="auto"/>
        <w:right w:val="none" w:sz="0" w:space="0" w:color="auto"/>
      </w:divBdr>
    </w:div>
    <w:div w:id="1243444803">
      <w:bodyDiv w:val="1"/>
      <w:marLeft w:val="0"/>
      <w:marRight w:val="0"/>
      <w:marTop w:val="0"/>
      <w:marBottom w:val="0"/>
      <w:divBdr>
        <w:top w:val="none" w:sz="0" w:space="0" w:color="auto"/>
        <w:left w:val="none" w:sz="0" w:space="0" w:color="auto"/>
        <w:bottom w:val="none" w:sz="0" w:space="0" w:color="auto"/>
        <w:right w:val="none" w:sz="0" w:space="0" w:color="auto"/>
      </w:divBdr>
    </w:div>
    <w:div w:id="1249535825">
      <w:bodyDiv w:val="1"/>
      <w:marLeft w:val="0"/>
      <w:marRight w:val="0"/>
      <w:marTop w:val="0"/>
      <w:marBottom w:val="0"/>
      <w:divBdr>
        <w:top w:val="none" w:sz="0" w:space="0" w:color="auto"/>
        <w:left w:val="none" w:sz="0" w:space="0" w:color="auto"/>
        <w:bottom w:val="none" w:sz="0" w:space="0" w:color="auto"/>
        <w:right w:val="none" w:sz="0" w:space="0" w:color="auto"/>
      </w:divBdr>
    </w:div>
    <w:div w:id="1251424474">
      <w:bodyDiv w:val="1"/>
      <w:marLeft w:val="0"/>
      <w:marRight w:val="0"/>
      <w:marTop w:val="0"/>
      <w:marBottom w:val="0"/>
      <w:divBdr>
        <w:top w:val="none" w:sz="0" w:space="0" w:color="auto"/>
        <w:left w:val="none" w:sz="0" w:space="0" w:color="auto"/>
        <w:bottom w:val="none" w:sz="0" w:space="0" w:color="auto"/>
        <w:right w:val="none" w:sz="0" w:space="0" w:color="auto"/>
      </w:divBdr>
    </w:div>
    <w:div w:id="1271278374">
      <w:bodyDiv w:val="1"/>
      <w:marLeft w:val="0"/>
      <w:marRight w:val="0"/>
      <w:marTop w:val="0"/>
      <w:marBottom w:val="0"/>
      <w:divBdr>
        <w:top w:val="none" w:sz="0" w:space="0" w:color="auto"/>
        <w:left w:val="none" w:sz="0" w:space="0" w:color="auto"/>
        <w:bottom w:val="none" w:sz="0" w:space="0" w:color="auto"/>
        <w:right w:val="none" w:sz="0" w:space="0" w:color="auto"/>
      </w:divBdr>
    </w:div>
    <w:div w:id="1276063100">
      <w:bodyDiv w:val="1"/>
      <w:marLeft w:val="0"/>
      <w:marRight w:val="0"/>
      <w:marTop w:val="0"/>
      <w:marBottom w:val="0"/>
      <w:divBdr>
        <w:top w:val="none" w:sz="0" w:space="0" w:color="auto"/>
        <w:left w:val="none" w:sz="0" w:space="0" w:color="auto"/>
        <w:bottom w:val="none" w:sz="0" w:space="0" w:color="auto"/>
        <w:right w:val="none" w:sz="0" w:space="0" w:color="auto"/>
      </w:divBdr>
    </w:div>
    <w:div w:id="1276325642">
      <w:bodyDiv w:val="1"/>
      <w:marLeft w:val="0"/>
      <w:marRight w:val="0"/>
      <w:marTop w:val="0"/>
      <w:marBottom w:val="0"/>
      <w:divBdr>
        <w:top w:val="none" w:sz="0" w:space="0" w:color="auto"/>
        <w:left w:val="none" w:sz="0" w:space="0" w:color="auto"/>
        <w:bottom w:val="none" w:sz="0" w:space="0" w:color="auto"/>
        <w:right w:val="none" w:sz="0" w:space="0" w:color="auto"/>
      </w:divBdr>
    </w:div>
    <w:div w:id="1277905502">
      <w:bodyDiv w:val="1"/>
      <w:marLeft w:val="0"/>
      <w:marRight w:val="0"/>
      <w:marTop w:val="0"/>
      <w:marBottom w:val="0"/>
      <w:divBdr>
        <w:top w:val="none" w:sz="0" w:space="0" w:color="auto"/>
        <w:left w:val="none" w:sz="0" w:space="0" w:color="auto"/>
        <w:bottom w:val="none" w:sz="0" w:space="0" w:color="auto"/>
        <w:right w:val="none" w:sz="0" w:space="0" w:color="auto"/>
      </w:divBdr>
    </w:div>
    <w:div w:id="1292595857">
      <w:bodyDiv w:val="1"/>
      <w:marLeft w:val="0"/>
      <w:marRight w:val="0"/>
      <w:marTop w:val="0"/>
      <w:marBottom w:val="0"/>
      <w:divBdr>
        <w:top w:val="none" w:sz="0" w:space="0" w:color="auto"/>
        <w:left w:val="none" w:sz="0" w:space="0" w:color="auto"/>
        <w:bottom w:val="none" w:sz="0" w:space="0" w:color="auto"/>
        <w:right w:val="none" w:sz="0" w:space="0" w:color="auto"/>
      </w:divBdr>
    </w:div>
    <w:div w:id="1297174319">
      <w:bodyDiv w:val="1"/>
      <w:marLeft w:val="0"/>
      <w:marRight w:val="0"/>
      <w:marTop w:val="0"/>
      <w:marBottom w:val="0"/>
      <w:divBdr>
        <w:top w:val="none" w:sz="0" w:space="0" w:color="auto"/>
        <w:left w:val="none" w:sz="0" w:space="0" w:color="auto"/>
        <w:bottom w:val="none" w:sz="0" w:space="0" w:color="auto"/>
        <w:right w:val="none" w:sz="0" w:space="0" w:color="auto"/>
      </w:divBdr>
    </w:div>
    <w:div w:id="1301420943">
      <w:bodyDiv w:val="1"/>
      <w:marLeft w:val="0"/>
      <w:marRight w:val="0"/>
      <w:marTop w:val="0"/>
      <w:marBottom w:val="0"/>
      <w:divBdr>
        <w:top w:val="none" w:sz="0" w:space="0" w:color="auto"/>
        <w:left w:val="none" w:sz="0" w:space="0" w:color="auto"/>
        <w:bottom w:val="none" w:sz="0" w:space="0" w:color="auto"/>
        <w:right w:val="none" w:sz="0" w:space="0" w:color="auto"/>
      </w:divBdr>
    </w:div>
    <w:div w:id="1317030322">
      <w:bodyDiv w:val="1"/>
      <w:marLeft w:val="0"/>
      <w:marRight w:val="0"/>
      <w:marTop w:val="0"/>
      <w:marBottom w:val="0"/>
      <w:divBdr>
        <w:top w:val="none" w:sz="0" w:space="0" w:color="auto"/>
        <w:left w:val="none" w:sz="0" w:space="0" w:color="auto"/>
        <w:bottom w:val="none" w:sz="0" w:space="0" w:color="auto"/>
        <w:right w:val="none" w:sz="0" w:space="0" w:color="auto"/>
      </w:divBdr>
    </w:div>
    <w:div w:id="1332023447">
      <w:bodyDiv w:val="1"/>
      <w:marLeft w:val="0"/>
      <w:marRight w:val="0"/>
      <w:marTop w:val="0"/>
      <w:marBottom w:val="0"/>
      <w:divBdr>
        <w:top w:val="none" w:sz="0" w:space="0" w:color="auto"/>
        <w:left w:val="none" w:sz="0" w:space="0" w:color="auto"/>
        <w:bottom w:val="none" w:sz="0" w:space="0" w:color="auto"/>
        <w:right w:val="none" w:sz="0" w:space="0" w:color="auto"/>
      </w:divBdr>
    </w:div>
    <w:div w:id="1340890464">
      <w:bodyDiv w:val="1"/>
      <w:marLeft w:val="0"/>
      <w:marRight w:val="0"/>
      <w:marTop w:val="0"/>
      <w:marBottom w:val="0"/>
      <w:divBdr>
        <w:top w:val="none" w:sz="0" w:space="0" w:color="auto"/>
        <w:left w:val="none" w:sz="0" w:space="0" w:color="auto"/>
        <w:bottom w:val="none" w:sz="0" w:space="0" w:color="auto"/>
        <w:right w:val="none" w:sz="0" w:space="0" w:color="auto"/>
      </w:divBdr>
    </w:div>
    <w:div w:id="1345329249">
      <w:bodyDiv w:val="1"/>
      <w:marLeft w:val="0"/>
      <w:marRight w:val="0"/>
      <w:marTop w:val="0"/>
      <w:marBottom w:val="0"/>
      <w:divBdr>
        <w:top w:val="none" w:sz="0" w:space="0" w:color="auto"/>
        <w:left w:val="none" w:sz="0" w:space="0" w:color="auto"/>
        <w:bottom w:val="none" w:sz="0" w:space="0" w:color="auto"/>
        <w:right w:val="none" w:sz="0" w:space="0" w:color="auto"/>
      </w:divBdr>
    </w:div>
    <w:div w:id="1350258132">
      <w:bodyDiv w:val="1"/>
      <w:marLeft w:val="0"/>
      <w:marRight w:val="0"/>
      <w:marTop w:val="0"/>
      <w:marBottom w:val="0"/>
      <w:divBdr>
        <w:top w:val="none" w:sz="0" w:space="0" w:color="auto"/>
        <w:left w:val="none" w:sz="0" w:space="0" w:color="auto"/>
        <w:bottom w:val="none" w:sz="0" w:space="0" w:color="auto"/>
        <w:right w:val="none" w:sz="0" w:space="0" w:color="auto"/>
      </w:divBdr>
    </w:div>
    <w:div w:id="1351032484">
      <w:bodyDiv w:val="1"/>
      <w:marLeft w:val="0"/>
      <w:marRight w:val="0"/>
      <w:marTop w:val="0"/>
      <w:marBottom w:val="0"/>
      <w:divBdr>
        <w:top w:val="none" w:sz="0" w:space="0" w:color="auto"/>
        <w:left w:val="none" w:sz="0" w:space="0" w:color="auto"/>
        <w:bottom w:val="none" w:sz="0" w:space="0" w:color="auto"/>
        <w:right w:val="none" w:sz="0" w:space="0" w:color="auto"/>
      </w:divBdr>
    </w:div>
    <w:div w:id="1353268310">
      <w:bodyDiv w:val="1"/>
      <w:marLeft w:val="0"/>
      <w:marRight w:val="0"/>
      <w:marTop w:val="0"/>
      <w:marBottom w:val="0"/>
      <w:divBdr>
        <w:top w:val="none" w:sz="0" w:space="0" w:color="auto"/>
        <w:left w:val="none" w:sz="0" w:space="0" w:color="auto"/>
        <w:bottom w:val="none" w:sz="0" w:space="0" w:color="auto"/>
        <w:right w:val="none" w:sz="0" w:space="0" w:color="auto"/>
      </w:divBdr>
    </w:div>
    <w:div w:id="1353873863">
      <w:bodyDiv w:val="1"/>
      <w:marLeft w:val="0"/>
      <w:marRight w:val="0"/>
      <w:marTop w:val="0"/>
      <w:marBottom w:val="0"/>
      <w:divBdr>
        <w:top w:val="none" w:sz="0" w:space="0" w:color="auto"/>
        <w:left w:val="none" w:sz="0" w:space="0" w:color="auto"/>
        <w:bottom w:val="none" w:sz="0" w:space="0" w:color="auto"/>
        <w:right w:val="none" w:sz="0" w:space="0" w:color="auto"/>
      </w:divBdr>
    </w:div>
    <w:div w:id="1361934459">
      <w:bodyDiv w:val="1"/>
      <w:marLeft w:val="0"/>
      <w:marRight w:val="0"/>
      <w:marTop w:val="0"/>
      <w:marBottom w:val="0"/>
      <w:divBdr>
        <w:top w:val="none" w:sz="0" w:space="0" w:color="auto"/>
        <w:left w:val="none" w:sz="0" w:space="0" w:color="auto"/>
        <w:bottom w:val="none" w:sz="0" w:space="0" w:color="auto"/>
        <w:right w:val="none" w:sz="0" w:space="0" w:color="auto"/>
      </w:divBdr>
    </w:div>
    <w:div w:id="1364093415">
      <w:bodyDiv w:val="1"/>
      <w:marLeft w:val="0"/>
      <w:marRight w:val="0"/>
      <w:marTop w:val="0"/>
      <w:marBottom w:val="0"/>
      <w:divBdr>
        <w:top w:val="none" w:sz="0" w:space="0" w:color="auto"/>
        <w:left w:val="none" w:sz="0" w:space="0" w:color="auto"/>
        <w:bottom w:val="none" w:sz="0" w:space="0" w:color="auto"/>
        <w:right w:val="none" w:sz="0" w:space="0" w:color="auto"/>
      </w:divBdr>
    </w:div>
    <w:div w:id="1372878638">
      <w:bodyDiv w:val="1"/>
      <w:marLeft w:val="0"/>
      <w:marRight w:val="0"/>
      <w:marTop w:val="0"/>
      <w:marBottom w:val="0"/>
      <w:divBdr>
        <w:top w:val="none" w:sz="0" w:space="0" w:color="auto"/>
        <w:left w:val="none" w:sz="0" w:space="0" w:color="auto"/>
        <w:bottom w:val="none" w:sz="0" w:space="0" w:color="auto"/>
        <w:right w:val="none" w:sz="0" w:space="0" w:color="auto"/>
      </w:divBdr>
    </w:div>
    <w:div w:id="1373071078">
      <w:bodyDiv w:val="1"/>
      <w:marLeft w:val="0"/>
      <w:marRight w:val="0"/>
      <w:marTop w:val="0"/>
      <w:marBottom w:val="0"/>
      <w:divBdr>
        <w:top w:val="none" w:sz="0" w:space="0" w:color="auto"/>
        <w:left w:val="none" w:sz="0" w:space="0" w:color="auto"/>
        <w:bottom w:val="none" w:sz="0" w:space="0" w:color="auto"/>
        <w:right w:val="none" w:sz="0" w:space="0" w:color="auto"/>
      </w:divBdr>
    </w:div>
    <w:div w:id="1379672037">
      <w:bodyDiv w:val="1"/>
      <w:marLeft w:val="0"/>
      <w:marRight w:val="0"/>
      <w:marTop w:val="0"/>
      <w:marBottom w:val="0"/>
      <w:divBdr>
        <w:top w:val="none" w:sz="0" w:space="0" w:color="auto"/>
        <w:left w:val="none" w:sz="0" w:space="0" w:color="auto"/>
        <w:bottom w:val="none" w:sz="0" w:space="0" w:color="auto"/>
        <w:right w:val="none" w:sz="0" w:space="0" w:color="auto"/>
      </w:divBdr>
    </w:div>
    <w:div w:id="1390878422">
      <w:bodyDiv w:val="1"/>
      <w:marLeft w:val="0"/>
      <w:marRight w:val="0"/>
      <w:marTop w:val="0"/>
      <w:marBottom w:val="0"/>
      <w:divBdr>
        <w:top w:val="none" w:sz="0" w:space="0" w:color="auto"/>
        <w:left w:val="none" w:sz="0" w:space="0" w:color="auto"/>
        <w:bottom w:val="none" w:sz="0" w:space="0" w:color="auto"/>
        <w:right w:val="none" w:sz="0" w:space="0" w:color="auto"/>
      </w:divBdr>
    </w:div>
    <w:div w:id="1391265499">
      <w:bodyDiv w:val="1"/>
      <w:marLeft w:val="0"/>
      <w:marRight w:val="0"/>
      <w:marTop w:val="0"/>
      <w:marBottom w:val="0"/>
      <w:divBdr>
        <w:top w:val="none" w:sz="0" w:space="0" w:color="auto"/>
        <w:left w:val="none" w:sz="0" w:space="0" w:color="auto"/>
        <w:bottom w:val="none" w:sz="0" w:space="0" w:color="auto"/>
        <w:right w:val="none" w:sz="0" w:space="0" w:color="auto"/>
      </w:divBdr>
    </w:div>
    <w:div w:id="1392192253">
      <w:bodyDiv w:val="1"/>
      <w:marLeft w:val="0"/>
      <w:marRight w:val="0"/>
      <w:marTop w:val="0"/>
      <w:marBottom w:val="0"/>
      <w:divBdr>
        <w:top w:val="none" w:sz="0" w:space="0" w:color="auto"/>
        <w:left w:val="none" w:sz="0" w:space="0" w:color="auto"/>
        <w:bottom w:val="none" w:sz="0" w:space="0" w:color="auto"/>
        <w:right w:val="none" w:sz="0" w:space="0" w:color="auto"/>
      </w:divBdr>
    </w:div>
    <w:div w:id="1394619056">
      <w:bodyDiv w:val="1"/>
      <w:marLeft w:val="0"/>
      <w:marRight w:val="0"/>
      <w:marTop w:val="0"/>
      <w:marBottom w:val="0"/>
      <w:divBdr>
        <w:top w:val="none" w:sz="0" w:space="0" w:color="auto"/>
        <w:left w:val="none" w:sz="0" w:space="0" w:color="auto"/>
        <w:bottom w:val="none" w:sz="0" w:space="0" w:color="auto"/>
        <w:right w:val="none" w:sz="0" w:space="0" w:color="auto"/>
      </w:divBdr>
    </w:div>
    <w:div w:id="1399671241">
      <w:bodyDiv w:val="1"/>
      <w:marLeft w:val="0"/>
      <w:marRight w:val="0"/>
      <w:marTop w:val="0"/>
      <w:marBottom w:val="0"/>
      <w:divBdr>
        <w:top w:val="none" w:sz="0" w:space="0" w:color="auto"/>
        <w:left w:val="none" w:sz="0" w:space="0" w:color="auto"/>
        <w:bottom w:val="none" w:sz="0" w:space="0" w:color="auto"/>
        <w:right w:val="none" w:sz="0" w:space="0" w:color="auto"/>
      </w:divBdr>
    </w:div>
    <w:div w:id="1402024401">
      <w:bodyDiv w:val="1"/>
      <w:marLeft w:val="0"/>
      <w:marRight w:val="0"/>
      <w:marTop w:val="0"/>
      <w:marBottom w:val="0"/>
      <w:divBdr>
        <w:top w:val="none" w:sz="0" w:space="0" w:color="auto"/>
        <w:left w:val="none" w:sz="0" w:space="0" w:color="auto"/>
        <w:bottom w:val="none" w:sz="0" w:space="0" w:color="auto"/>
        <w:right w:val="none" w:sz="0" w:space="0" w:color="auto"/>
      </w:divBdr>
    </w:div>
    <w:div w:id="1409039142">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10155623">
      <w:bodyDiv w:val="1"/>
      <w:marLeft w:val="0"/>
      <w:marRight w:val="0"/>
      <w:marTop w:val="0"/>
      <w:marBottom w:val="0"/>
      <w:divBdr>
        <w:top w:val="none" w:sz="0" w:space="0" w:color="auto"/>
        <w:left w:val="none" w:sz="0" w:space="0" w:color="auto"/>
        <w:bottom w:val="none" w:sz="0" w:space="0" w:color="auto"/>
        <w:right w:val="none" w:sz="0" w:space="0" w:color="auto"/>
      </w:divBdr>
    </w:div>
    <w:div w:id="1414744061">
      <w:bodyDiv w:val="1"/>
      <w:marLeft w:val="0"/>
      <w:marRight w:val="0"/>
      <w:marTop w:val="0"/>
      <w:marBottom w:val="0"/>
      <w:divBdr>
        <w:top w:val="none" w:sz="0" w:space="0" w:color="auto"/>
        <w:left w:val="none" w:sz="0" w:space="0" w:color="auto"/>
        <w:bottom w:val="none" w:sz="0" w:space="0" w:color="auto"/>
        <w:right w:val="none" w:sz="0" w:space="0" w:color="auto"/>
      </w:divBdr>
    </w:div>
    <w:div w:id="1416785177">
      <w:bodyDiv w:val="1"/>
      <w:marLeft w:val="0"/>
      <w:marRight w:val="0"/>
      <w:marTop w:val="0"/>
      <w:marBottom w:val="0"/>
      <w:divBdr>
        <w:top w:val="none" w:sz="0" w:space="0" w:color="auto"/>
        <w:left w:val="none" w:sz="0" w:space="0" w:color="auto"/>
        <w:bottom w:val="none" w:sz="0" w:space="0" w:color="auto"/>
        <w:right w:val="none" w:sz="0" w:space="0" w:color="auto"/>
      </w:divBdr>
    </w:div>
    <w:div w:id="1424187653">
      <w:bodyDiv w:val="1"/>
      <w:marLeft w:val="0"/>
      <w:marRight w:val="0"/>
      <w:marTop w:val="0"/>
      <w:marBottom w:val="0"/>
      <w:divBdr>
        <w:top w:val="none" w:sz="0" w:space="0" w:color="auto"/>
        <w:left w:val="none" w:sz="0" w:space="0" w:color="auto"/>
        <w:bottom w:val="none" w:sz="0" w:space="0" w:color="auto"/>
        <w:right w:val="none" w:sz="0" w:space="0" w:color="auto"/>
      </w:divBdr>
    </w:div>
    <w:div w:id="1435589710">
      <w:bodyDiv w:val="1"/>
      <w:marLeft w:val="0"/>
      <w:marRight w:val="0"/>
      <w:marTop w:val="0"/>
      <w:marBottom w:val="0"/>
      <w:divBdr>
        <w:top w:val="none" w:sz="0" w:space="0" w:color="auto"/>
        <w:left w:val="none" w:sz="0" w:space="0" w:color="auto"/>
        <w:bottom w:val="none" w:sz="0" w:space="0" w:color="auto"/>
        <w:right w:val="none" w:sz="0" w:space="0" w:color="auto"/>
      </w:divBdr>
    </w:div>
    <w:div w:id="1442147220">
      <w:bodyDiv w:val="1"/>
      <w:marLeft w:val="0"/>
      <w:marRight w:val="0"/>
      <w:marTop w:val="0"/>
      <w:marBottom w:val="0"/>
      <w:divBdr>
        <w:top w:val="none" w:sz="0" w:space="0" w:color="auto"/>
        <w:left w:val="none" w:sz="0" w:space="0" w:color="auto"/>
        <w:bottom w:val="none" w:sz="0" w:space="0" w:color="auto"/>
        <w:right w:val="none" w:sz="0" w:space="0" w:color="auto"/>
      </w:divBdr>
    </w:div>
    <w:div w:id="1443843152">
      <w:bodyDiv w:val="1"/>
      <w:marLeft w:val="0"/>
      <w:marRight w:val="0"/>
      <w:marTop w:val="0"/>
      <w:marBottom w:val="0"/>
      <w:divBdr>
        <w:top w:val="none" w:sz="0" w:space="0" w:color="auto"/>
        <w:left w:val="none" w:sz="0" w:space="0" w:color="auto"/>
        <w:bottom w:val="none" w:sz="0" w:space="0" w:color="auto"/>
        <w:right w:val="none" w:sz="0" w:space="0" w:color="auto"/>
      </w:divBdr>
    </w:div>
    <w:div w:id="1455171809">
      <w:bodyDiv w:val="1"/>
      <w:marLeft w:val="0"/>
      <w:marRight w:val="0"/>
      <w:marTop w:val="0"/>
      <w:marBottom w:val="0"/>
      <w:divBdr>
        <w:top w:val="none" w:sz="0" w:space="0" w:color="auto"/>
        <w:left w:val="none" w:sz="0" w:space="0" w:color="auto"/>
        <w:bottom w:val="none" w:sz="0" w:space="0" w:color="auto"/>
        <w:right w:val="none" w:sz="0" w:space="0" w:color="auto"/>
      </w:divBdr>
    </w:div>
    <w:div w:id="1468667000">
      <w:bodyDiv w:val="1"/>
      <w:marLeft w:val="0"/>
      <w:marRight w:val="0"/>
      <w:marTop w:val="0"/>
      <w:marBottom w:val="0"/>
      <w:divBdr>
        <w:top w:val="none" w:sz="0" w:space="0" w:color="auto"/>
        <w:left w:val="none" w:sz="0" w:space="0" w:color="auto"/>
        <w:bottom w:val="none" w:sz="0" w:space="0" w:color="auto"/>
        <w:right w:val="none" w:sz="0" w:space="0" w:color="auto"/>
      </w:divBdr>
    </w:div>
    <w:div w:id="1470004774">
      <w:bodyDiv w:val="1"/>
      <w:marLeft w:val="0"/>
      <w:marRight w:val="0"/>
      <w:marTop w:val="0"/>
      <w:marBottom w:val="0"/>
      <w:divBdr>
        <w:top w:val="none" w:sz="0" w:space="0" w:color="auto"/>
        <w:left w:val="none" w:sz="0" w:space="0" w:color="auto"/>
        <w:bottom w:val="none" w:sz="0" w:space="0" w:color="auto"/>
        <w:right w:val="none" w:sz="0" w:space="0" w:color="auto"/>
      </w:divBdr>
    </w:div>
    <w:div w:id="1473668662">
      <w:bodyDiv w:val="1"/>
      <w:marLeft w:val="0"/>
      <w:marRight w:val="0"/>
      <w:marTop w:val="0"/>
      <w:marBottom w:val="0"/>
      <w:divBdr>
        <w:top w:val="none" w:sz="0" w:space="0" w:color="auto"/>
        <w:left w:val="none" w:sz="0" w:space="0" w:color="auto"/>
        <w:bottom w:val="none" w:sz="0" w:space="0" w:color="auto"/>
        <w:right w:val="none" w:sz="0" w:space="0" w:color="auto"/>
      </w:divBdr>
    </w:div>
    <w:div w:id="1476296039">
      <w:bodyDiv w:val="1"/>
      <w:marLeft w:val="0"/>
      <w:marRight w:val="0"/>
      <w:marTop w:val="0"/>
      <w:marBottom w:val="0"/>
      <w:divBdr>
        <w:top w:val="none" w:sz="0" w:space="0" w:color="auto"/>
        <w:left w:val="none" w:sz="0" w:space="0" w:color="auto"/>
        <w:bottom w:val="none" w:sz="0" w:space="0" w:color="auto"/>
        <w:right w:val="none" w:sz="0" w:space="0" w:color="auto"/>
      </w:divBdr>
    </w:div>
    <w:div w:id="1477869143">
      <w:bodyDiv w:val="1"/>
      <w:marLeft w:val="0"/>
      <w:marRight w:val="0"/>
      <w:marTop w:val="0"/>
      <w:marBottom w:val="0"/>
      <w:divBdr>
        <w:top w:val="none" w:sz="0" w:space="0" w:color="auto"/>
        <w:left w:val="none" w:sz="0" w:space="0" w:color="auto"/>
        <w:bottom w:val="none" w:sz="0" w:space="0" w:color="auto"/>
        <w:right w:val="none" w:sz="0" w:space="0" w:color="auto"/>
      </w:divBdr>
    </w:div>
    <w:div w:id="1478717278">
      <w:bodyDiv w:val="1"/>
      <w:marLeft w:val="0"/>
      <w:marRight w:val="0"/>
      <w:marTop w:val="0"/>
      <w:marBottom w:val="0"/>
      <w:divBdr>
        <w:top w:val="none" w:sz="0" w:space="0" w:color="auto"/>
        <w:left w:val="none" w:sz="0" w:space="0" w:color="auto"/>
        <w:bottom w:val="none" w:sz="0" w:space="0" w:color="auto"/>
        <w:right w:val="none" w:sz="0" w:space="0" w:color="auto"/>
      </w:divBdr>
    </w:div>
    <w:div w:id="1491288612">
      <w:bodyDiv w:val="1"/>
      <w:marLeft w:val="0"/>
      <w:marRight w:val="0"/>
      <w:marTop w:val="0"/>
      <w:marBottom w:val="0"/>
      <w:divBdr>
        <w:top w:val="none" w:sz="0" w:space="0" w:color="auto"/>
        <w:left w:val="none" w:sz="0" w:space="0" w:color="auto"/>
        <w:bottom w:val="none" w:sz="0" w:space="0" w:color="auto"/>
        <w:right w:val="none" w:sz="0" w:space="0" w:color="auto"/>
      </w:divBdr>
    </w:div>
    <w:div w:id="1492059126">
      <w:bodyDiv w:val="1"/>
      <w:marLeft w:val="0"/>
      <w:marRight w:val="0"/>
      <w:marTop w:val="0"/>
      <w:marBottom w:val="0"/>
      <w:divBdr>
        <w:top w:val="none" w:sz="0" w:space="0" w:color="auto"/>
        <w:left w:val="none" w:sz="0" w:space="0" w:color="auto"/>
        <w:bottom w:val="none" w:sz="0" w:space="0" w:color="auto"/>
        <w:right w:val="none" w:sz="0" w:space="0" w:color="auto"/>
      </w:divBdr>
    </w:div>
    <w:div w:id="1492520430">
      <w:bodyDiv w:val="1"/>
      <w:marLeft w:val="0"/>
      <w:marRight w:val="0"/>
      <w:marTop w:val="0"/>
      <w:marBottom w:val="0"/>
      <w:divBdr>
        <w:top w:val="none" w:sz="0" w:space="0" w:color="auto"/>
        <w:left w:val="none" w:sz="0" w:space="0" w:color="auto"/>
        <w:bottom w:val="none" w:sz="0" w:space="0" w:color="auto"/>
        <w:right w:val="none" w:sz="0" w:space="0" w:color="auto"/>
      </w:divBdr>
    </w:div>
    <w:div w:id="1501651150">
      <w:bodyDiv w:val="1"/>
      <w:marLeft w:val="0"/>
      <w:marRight w:val="0"/>
      <w:marTop w:val="0"/>
      <w:marBottom w:val="0"/>
      <w:divBdr>
        <w:top w:val="none" w:sz="0" w:space="0" w:color="auto"/>
        <w:left w:val="none" w:sz="0" w:space="0" w:color="auto"/>
        <w:bottom w:val="none" w:sz="0" w:space="0" w:color="auto"/>
        <w:right w:val="none" w:sz="0" w:space="0" w:color="auto"/>
      </w:divBdr>
    </w:div>
    <w:div w:id="1519808797">
      <w:bodyDiv w:val="1"/>
      <w:marLeft w:val="0"/>
      <w:marRight w:val="0"/>
      <w:marTop w:val="0"/>
      <w:marBottom w:val="0"/>
      <w:divBdr>
        <w:top w:val="none" w:sz="0" w:space="0" w:color="auto"/>
        <w:left w:val="none" w:sz="0" w:space="0" w:color="auto"/>
        <w:bottom w:val="none" w:sz="0" w:space="0" w:color="auto"/>
        <w:right w:val="none" w:sz="0" w:space="0" w:color="auto"/>
      </w:divBdr>
    </w:div>
    <w:div w:id="1522738558">
      <w:bodyDiv w:val="1"/>
      <w:marLeft w:val="0"/>
      <w:marRight w:val="0"/>
      <w:marTop w:val="0"/>
      <w:marBottom w:val="0"/>
      <w:divBdr>
        <w:top w:val="none" w:sz="0" w:space="0" w:color="auto"/>
        <w:left w:val="none" w:sz="0" w:space="0" w:color="auto"/>
        <w:bottom w:val="none" w:sz="0" w:space="0" w:color="auto"/>
        <w:right w:val="none" w:sz="0" w:space="0" w:color="auto"/>
      </w:divBdr>
    </w:div>
    <w:div w:id="1561479981">
      <w:bodyDiv w:val="1"/>
      <w:marLeft w:val="0"/>
      <w:marRight w:val="0"/>
      <w:marTop w:val="0"/>
      <w:marBottom w:val="0"/>
      <w:divBdr>
        <w:top w:val="none" w:sz="0" w:space="0" w:color="auto"/>
        <w:left w:val="none" w:sz="0" w:space="0" w:color="auto"/>
        <w:bottom w:val="none" w:sz="0" w:space="0" w:color="auto"/>
        <w:right w:val="none" w:sz="0" w:space="0" w:color="auto"/>
      </w:divBdr>
    </w:div>
    <w:div w:id="1564412122">
      <w:bodyDiv w:val="1"/>
      <w:marLeft w:val="0"/>
      <w:marRight w:val="0"/>
      <w:marTop w:val="0"/>
      <w:marBottom w:val="0"/>
      <w:divBdr>
        <w:top w:val="none" w:sz="0" w:space="0" w:color="auto"/>
        <w:left w:val="none" w:sz="0" w:space="0" w:color="auto"/>
        <w:bottom w:val="none" w:sz="0" w:space="0" w:color="auto"/>
        <w:right w:val="none" w:sz="0" w:space="0" w:color="auto"/>
      </w:divBdr>
    </w:div>
    <w:div w:id="1571111480">
      <w:bodyDiv w:val="1"/>
      <w:marLeft w:val="0"/>
      <w:marRight w:val="0"/>
      <w:marTop w:val="0"/>
      <w:marBottom w:val="0"/>
      <w:divBdr>
        <w:top w:val="none" w:sz="0" w:space="0" w:color="auto"/>
        <w:left w:val="none" w:sz="0" w:space="0" w:color="auto"/>
        <w:bottom w:val="none" w:sz="0" w:space="0" w:color="auto"/>
        <w:right w:val="none" w:sz="0" w:space="0" w:color="auto"/>
      </w:divBdr>
    </w:div>
    <w:div w:id="1574704069">
      <w:bodyDiv w:val="1"/>
      <w:marLeft w:val="0"/>
      <w:marRight w:val="0"/>
      <w:marTop w:val="0"/>
      <w:marBottom w:val="0"/>
      <w:divBdr>
        <w:top w:val="none" w:sz="0" w:space="0" w:color="auto"/>
        <w:left w:val="none" w:sz="0" w:space="0" w:color="auto"/>
        <w:bottom w:val="none" w:sz="0" w:space="0" w:color="auto"/>
        <w:right w:val="none" w:sz="0" w:space="0" w:color="auto"/>
      </w:divBdr>
    </w:div>
    <w:div w:id="1582517891">
      <w:bodyDiv w:val="1"/>
      <w:marLeft w:val="0"/>
      <w:marRight w:val="0"/>
      <w:marTop w:val="0"/>
      <w:marBottom w:val="0"/>
      <w:divBdr>
        <w:top w:val="none" w:sz="0" w:space="0" w:color="auto"/>
        <w:left w:val="none" w:sz="0" w:space="0" w:color="auto"/>
        <w:bottom w:val="none" w:sz="0" w:space="0" w:color="auto"/>
        <w:right w:val="none" w:sz="0" w:space="0" w:color="auto"/>
      </w:divBdr>
    </w:div>
    <w:div w:id="1583181634">
      <w:bodyDiv w:val="1"/>
      <w:marLeft w:val="0"/>
      <w:marRight w:val="0"/>
      <w:marTop w:val="0"/>
      <w:marBottom w:val="0"/>
      <w:divBdr>
        <w:top w:val="none" w:sz="0" w:space="0" w:color="auto"/>
        <w:left w:val="none" w:sz="0" w:space="0" w:color="auto"/>
        <w:bottom w:val="none" w:sz="0" w:space="0" w:color="auto"/>
        <w:right w:val="none" w:sz="0" w:space="0" w:color="auto"/>
      </w:divBdr>
    </w:div>
    <w:div w:id="1594313905">
      <w:bodyDiv w:val="1"/>
      <w:marLeft w:val="0"/>
      <w:marRight w:val="0"/>
      <w:marTop w:val="0"/>
      <w:marBottom w:val="0"/>
      <w:divBdr>
        <w:top w:val="none" w:sz="0" w:space="0" w:color="auto"/>
        <w:left w:val="none" w:sz="0" w:space="0" w:color="auto"/>
        <w:bottom w:val="none" w:sz="0" w:space="0" w:color="auto"/>
        <w:right w:val="none" w:sz="0" w:space="0" w:color="auto"/>
      </w:divBdr>
    </w:div>
    <w:div w:id="1607077531">
      <w:bodyDiv w:val="1"/>
      <w:marLeft w:val="0"/>
      <w:marRight w:val="0"/>
      <w:marTop w:val="0"/>
      <w:marBottom w:val="0"/>
      <w:divBdr>
        <w:top w:val="none" w:sz="0" w:space="0" w:color="auto"/>
        <w:left w:val="none" w:sz="0" w:space="0" w:color="auto"/>
        <w:bottom w:val="none" w:sz="0" w:space="0" w:color="auto"/>
        <w:right w:val="none" w:sz="0" w:space="0" w:color="auto"/>
      </w:divBdr>
    </w:div>
    <w:div w:id="1613396957">
      <w:bodyDiv w:val="1"/>
      <w:marLeft w:val="0"/>
      <w:marRight w:val="0"/>
      <w:marTop w:val="0"/>
      <w:marBottom w:val="0"/>
      <w:divBdr>
        <w:top w:val="none" w:sz="0" w:space="0" w:color="auto"/>
        <w:left w:val="none" w:sz="0" w:space="0" w:color="auto"/>
        <w:bottom w:val="none" w:sz="0" w:space="0" w:color="auto"/>
        <w:right w:val="none" w:sz="0" w:space="0" w:color="auto"/>
      </w:divBdr>
    </w:div>
    <w:div w:id="1618103975">
      <w:bodyDiv w:val="1"/>
      <w:marLeft w:val="0"/>
      <w:marRight w:val="0"/>
      <w:marTop w:val="0"/>
      <w:marBottom w:val="0"/>
      <w:divBdr>
        <w:top w:val="none" w:sz="0" w:space="0" w:color="auto"/>
        <w:left w:val="none" w:sz="0" w:space="0" w:color="auto"/>
        <w:bottom w:val="none" w:sz="0" w:space="0" w:color="auto"/>
        <w:right w:val="none" w:sz="0" w:space="0" w:color="auto"/>
      </w:divBdr>
    </w:div>
    <w:div w:id="1619950908">
      <w:bodyDiv w:val="1"/>
      <w:marLeft w:val="0"/>
      <w:marRight w:val="0"/>
      <w:marTop w:val="0"/>
      <w:marBottom w:val="0"/>
      <w:divBdr>
        <w:top w:val="none" w:sz="0" w:space="0" w:color="auto"/>
        <w:left w:val="none" w:sz="0" w:space="0" w:color="auto"/>
        <w:bottom w:val="none" w:sz="0" w:space="0" w:color="auto"/>
        <w:right w:val="none" w:sz="0" w:space="0" w:color="auto"/>
      </w:divBdr>
    </w:div>
    <w:div w:id="1620062572">
      <w:bodyDiv w:val="1"/>
      <w:marLeft w:val="0"/>
      <w:marRight w:val="0"/>
      <w:marTop w:val="0"/>
      <w:marBottom w:val="0"/>
      <w:divBdr>
        <w:top w:val="none" w:sz="0" w:space="0" w:color="auto"/>
        <w:left w:val="none" w:sz="0" w:space="0" w:color="auto"/>
        <w:bottom w:val="none" w:sz="0" w:space="0" w:color="auto"/>
        <w:right w:val="none" w:sz="0" w:space="0" w:color="auto"/>
      </w:divBdr>
    </w:div>
    <w:div w:id="1623807103">
      <w:bodyDiv w:val="1"/>
      <w:marLeft w:val="0"/>
      <w:marRight w:val="0"/>
      <w:marTop w:val="0"/>
      <w:marBottom w:val="0"/>
      <w:divBdr>
        <w:top w:val="none" w:sz="0" w:space="0" w:color="auto"/>
        <w:left w:val="none" w:sz="0" w:space="0" w:color="auto"/>
        <w:bottom w:val="none" w:sz="0" w:space="0" w:color="auto"/>
        <w:right w:val="none" w:sz="0" w:space="0" w:color="auto"/>
      </w:divBdr>
    </w:div>
    <w:div w:id="1623918070">
      <w:bodyDiv w:val="1"/>
      <w:marLeft w:val="0"/>
      <w:marRight w:val="0"/>
      <w:marTop w:val="0"/>
      <w:marBottom w:val="0"/>
      <w:divBdr>
        <w:top w:val="none" w:sz="0" w:space="0" w:color="auto"/>
        <w:left w:val="none" w:sz="0" w:space="0" w:color="auto"/>
        <w:bottom w:val="none" w:sz="0" w:space="0" w:color="auto"/>
        <w:right w:val="none" w:sz="0" w:space="0" w:color="auto"/>
      </w:divBdr>
    </w:div>
    <w:div w:id="1639069540">
      <w:bodyDiv w:val="1"/>
      <w:marLeft w:val="0"/>
      <w:marRight w:val="0"/>
      <w:marTop w:val="0"/>
      <w:marBottom w:val="0"/>
      <w:divBdr>
        <w:top w:val="none" w:sz="0" w:space="0" w:color="auto"/>
        <w:left w:val="none" w:sz="0" w:space="0" w:color="auto"/>
        <w:bottom w:val="none" w:sz="0" w:space="0" w:color="auto"/>
        <w:right w:val="none" w:sz="0" w:space="0" w:color="auto"/>
      </w:divBdr>
    </w:div>
    <w:div w:id="1655330317">
      <w:bodyDiv w:val="1"/>
      <w:marLeft w:val="0"/>
      <w:marRight w:val="0"/>
      <w:marTop w:val="0"/>
      <w:marBottom w:val="0"/>
      <w:divBdr>
        <w:top w:val="none" w:sz="0" w:space="0" w:color="auto"/>
        <w:left w:val="none" w:sz="0" w:space="0" w:color="auto"/>
        <w:bottom w:val="none" w:sz="0" w:space="0" w:color="auto"/>
        <w:right w:val="none" w:sz="0" w:space="0" w:color="auto"/>
      </w:divBdr>
    </w:div>
    <w:div w:id="1665091188">
      <w:bodyDiv w:val="1"/>
      <w:marLeft w:val="0"/>
      <w:marRight w:val="0"/>
      <w:marTop w:val="0"/>
      <w:marBottom w:val="0"/>
      <w:divBdr>
        <w:top w:val="none" w:sz="0" w:space="0" w:color="auto"/>
        <w:left w:val="none" w:sz="0" w:space="0" w:color="auto"/>
        <w:bottom w:val="none" w:sz="0" w:space="0" w:color="auto"/>
        <w:right w:val="none" w:sz="0" w:space="0" w:color="auto"/>
      </w:divBdr>
    </w:div>
    <w:div w:id="1672290793">
      <w:bodyDiv w:val="1"/>
      <w:marLeft w:val="0"/>
      <w:marRight w:val="0"/>
      <w:marTop w:val="0"/>
      <w:marBottom w:val="0"/>
      <w:divBdr>
        <w:top w:val="none" w:sz="0" w:space="0" w:color="auto"/>
        <w:left w:val="none" w:sz="0" w:space="0" w:color="auto"/>
        <w:bottom w:val="none" w:sz="0" w:space="0" w:color="auto"/>
        <w:right w:val="none" w:sz="0" w:space="0" w:color="auto"/>
      </w:divBdr>
    </w:div>
    <w:div w:id="1673023521">
      <w:bodyDiv w:val="1"/>
      <w:marLeft w:val="0"/>
      <w:marRight w:val="0"/>
      <w:marTop w:val="0"/>
      <w:marBottom w:val="0"/>
      <w:divBdr>
        <w:top w:val="none" w:sz="0" w:space="0" w:color="auto"/>
        <w:left w:val="none" w:sz="0" w:space="0" w:color="auto"/>
        <w:bottom w:val="none" w:sz="0" w:space="0" w:color="auto"/>
        <w:right w:val="none" w:sz="0" w:space="0" w:color="auto"/>
      </w:divBdr>
    </w:div>
    <w:div w:id="1673026084">
      <w:bodyDiv w:val="1"/>
      <w:marLeft w:val="0"/>
      <w:marRight w:val="0"/>
      <w:marTop w:val="0"/>
      <w:marBottom w:val="0"/>
      <w:divBdr>
        <w:top w:val="none" w:sz="0" w:space="0" w:color="auto"/>
        <w:left w:val="none" w:sz="0" w:space="0" w:color="auto"/>
        <w:bottom w:val="none" w:sz="0" w:space="0" w:color="auto"/>
        <w:right w:val="none" w:sz="0" w:space="0" w:color="auto"/>
      </w:divBdr>
    </w:div>
    <w:div w:id="1673070532">
      <w:bodyDiv w:val="1"/>
      <w:marLeft w:val="0"/>
      <w:marRight w:val="0"/>
      <w:marTop w:val="0"/>
      <w:marBottom w:val="0"/>
      <w:divBdr>
        <w:top w:val="none" w:sz="0" w:space="0" w:color="auto"/>
        <w:left w:val="none" w:sz="0" w:space="0" w:color="auto"/>
        <w:bottom w:val="none" w:sz="0" w:space="0" w:color="auto"/>
        <w:right w:val="none" w:sz="0" w:space="0" w:color="auto"/>
      </w:divBdr>
    </w:div>
    <w:div w:id="1679114648">
      <w:bodyDiv w:val="1"/>
      <w:marLeft w:val="0"/>
      <w:marRight w:val="0"/>
      <w:marTop w:val="0"/>
      <w:marBottom w:val="0"/>
      <w:divBdr>
        <w:top w:val="none" w:sz="0" w:space="0" w:color="auto"/>
        <w:left w:val="none" w:sz="0" w:space="0" w:color="auto"/>
        <w:bottom w:val="none" w:sz="0" w:space="0" w:color="auto"/>
        <w:right w:val="none" w:sz="0" w:space="0" w:color="auto"/>
      </w:divBdr>
    </w:div>
    <w:div w:id="1683778600">
      <w:bodyDiv w:val="1"/>
      <w:marLeft w:val="0"/>
      <w:marRight w:val="0"/>
      <w:marTop w:val="0"/>
      <w:marBottom w:val="0"/>
      <w:divBdr>
        <w:top w:val="none" w:sz="0" w:space="0" w:color="auto"/>
        <w:left w:val="none" w:sz="0" w:space="0" w:color="auto"/>
        <w:bottom w:val="none" w:sz="0" w:space="0" w:color="auto"/>
        <w:right w:val="none" w:sz="0" w:space="0" w:color="auto"/>
      </w:divBdr>
    </w:div>
    <w:div w:id="1689719937">
      <w:bodyDiv w:val="1"/>
      <w:marLeft w:val="0"/>
      <w:marRight w:val="0"/>
      <w:marTop w:val="0"/>
      <w:marBottom w:val="0"/>
      <w:divBdr>
        <w:top w:val="none" w:sz="0" w:space="0" w:color="auto"/>
        <w:left w:val="none" w:sz="0" w:space="0" w:color="auto"/>
        <w:bottom w:val="none" w:sz="0" w:space="0" w:color="auto"/>
        <w:right w:val="none" w:sz="0" w:space="0" w:color="auto"/>
      </w:divBdr>
    </w:div>
    <w:div w:id="1703165057">
      <w:bodyDiv w:val="1"/>
      <w:marLeft w:val="0"/>
      <w:marRight w:val="0"/>
      <w:marTop w:val="0"/>
      <w:marBottom w:val="0"/>
      <w:divBdr>
        <w:top w:val="none" w:sz="0" w:space="0" w:color="auto"/>
        <w:left w:val="none" w:sz="0" w:space="0" w:color="auto"/>
        <w:bottom w:val="none" w:sz="0" w:space="0" w:color="auto"/>
        <w:right w:val="none" w:sz="0" w:space="0" w:color="auto"/>
      </w:divBdr>
    </w:div>
    <w:div w:id="1709449670">
      <w:bodyDiv w:val="1"/>
      <w:marLeft w:val="0"/>
      <w:marRight w:val="0"/>
      <w:marTop w:val="0"/>
      <w:marBottom w:val="0"/>
      <w:divBdr>
        <w:top w:val="none" w:sz="0" w:space="0" w:color="auto"/>
        <w:left w:val="none" w:sz="0" w:space="0" w:color="auto"/>
        <w:bottom w:val="none" w:sz="0" w:space="0" w:color="auto"/>
        <w:right w:val="none" w:sz="0" w:space="0" w:color="auto"/>
      </w:divBdr>
    </w:div>
    <w:div w:id="1719624131">
      <w:bodyDiv w:val="1"/>
      <w:marLeft w:val="0"/>
      <w:marRight w:val="0"/>
      <w:marTop w:val="0"/>
      <w:marBottom w:val="0"/>
      <w:divBdr>
        <w:top w:val="none" w:sz="0" w:space="0" w:color="auto"/>
        <w:left w:val="none" w:sz="0" w:space="0" w:color="auto"/>
        <w:bottom w:val="none" w:sz="0" w:space="0" w:color="auto"/>
        <w:right w:val="none" w:sz="0" w:space="0" w:color="auto"/>
      </w:divBdr>
    </w:div>
    <w:div w:id="1721317656">
      <w:bodyDiv w:val="1"/>
      <w:marLeft w:val="0"/>
      <w:marRight w:val="0"/>
      <w:marTop w:val="0"/>
      <w:marBottom w:val="0"/>
      <w:divBdr>
        <w:top w:val="none" w:sz="0" w:space="0" w:color="auto"/>
        <w:left w:val="none" w:sz="0" w:space="0" w:color="auto"/>
        <w:bottom w:val="none" w:sz="0" w:space="0" w:color="auto"/>
        <w:right w:val="none" w:sz="0" w:space="0" w:color="auto"/>
      </w:divBdr>
    </w:div>
    <w:div w:id="1724324421">
      <w:bodyDiv w:val="1"/>
      <w:marLeft w:val="0"/>
      <w:marRight w:val="0"/>
      <w:marTop w:val="0"/>
      <w:marBottom w:val="0"/>
      <w:divBdr>
        <w:top w:val="none" w:sz="0" w:space="0" w:color="auto"/>
        <w:left w:val="none" w:sz="0" w:space="0" w:color="auto"/>
        <w:bottom w:val="none" w:sz="0" w:space="0" w:color="auto"/>
        <w:right w:val="none" w:sz="0" w:space="0" w:color="auto"/>
      </w:divBdr>
    </w:div>
    <w:div w:id="1725055845">
      <w:bodyDiv w:val="1"/>
      <w:marLeft w:val="0"/>
      <w:marRight w:val="0"/>
      <w:marTop w:val="0"/>
      <w:marBottom w:val="0"/>
      <w:divBdr>
        <w:top w:val="none" w:sz="0" w:space="0" w:color="auto"/>
        <w:left w:val="none" w:sz="0" w:space="0" w:color="auto"/>
        <w:bottom w:val="none" w:sz="0" w:space="0" w:color="auto"/>
        <w:right w:val="none" w:sz="0" w:space="0" w:color="auto"/>
      </w:divBdr>
    </w:div>
    <w:div w:id="1727872772">
      <w:bodyDiv w:val="1"/>
      <w:marLeft w:val="0"/>
      <w:marRight w:val="0"/>
      <w:marTop w:val="0"/>
      <w:marBottom w:val="0"/>
      <w:divBdr>
        <w:top w:val="none" w:sz="0" w:space="0" w:color="auto"/>
        <w:left w:val="none" w:sz="0" w:space="0" w:color="auto"/>
        <w:bottom w:val="none" w:sz="0" w:space="0" w:color="auto"/>
        <w:right w:val="none" w:sz="0" w:space="0" w:color="auto"/>
      </w:divBdr>
    </w:div>
    <w:div w:id="1734349015">
      <w:bodyDiv w:val="1"/>
      <w:marLeft w:val="0"/>
      <w:marRight w:val="0"/>
      <w:marTop w:val="0"/>
      <w:marBottom w:val="0"/>
      <w:divBdr>
        <w:top w:val="none" w:sz="0" w:space="0" w:color="auto"/>
        <w:left w:val="none" w:sz="0" w:space="0" w:color="auto"/>
        <w:bottom w:val="none" w:sz="0" w:space="0" w:color="auto"/>
        <w:right w:val="none" w:sz="0" w:space="0" w:color="auto"/>
      </w:divBdr>
    </w:div>
    <w:div w:id="1736732955">
      <w:bodyDiv w:val="1"/>
      <w:marLeft w:val="0"/>
      <w:marRight w:val="0"/>
      <w:marTop w:val="0"/>
      <w:marBottom w:val="0"/>
      <w:divBdr>
        <w:top w:val="none" w:sz="0" w:space="0" w:color="auto"/>
        <w:left w:val="none" w:sz="0" w:space="0" w:color="auto"/>
        <w:bottom w:val="none" w:sz="0" w:space="0" w:color="auto"/>
        <w:right w:val="none" w:sz="0" w:space="0" w:color="auto"/>
      </w:divBdr>
    </w:div>
    <w:div w:id="1743214121">
      <w:bodyDiv w:val="1"/>
      <w:marLeft w:val="0"/>
      <w:marRight w:val="0"/>
      <w:marTop w:val="0"/>
      <w:marBottom w:val="0"/>
      <w:divBdr>
        <w:top w:val="none" w:sz="0" w:space="0" w:color="auto"/>
        <w:left w:val="none" w:sz="0" w:space="0" w:color="auto"/>
        <w:bottom w:val="none" w:sz="0" w:space="0" w:color="auto"/>
        <w:right w:val="none" w:sz="0" w:space="0" w:color="auto"/>
      </w:divBdr>
    </w:div>
    <w:div w:id="1747069609">
      <w:bodyDiv w:val="1"/>
      <w:marLeft w:val="0"/>
      <w:marRight w:val="0"/>
      <w:marTop w:val="0"/>
      <w:marBottom w:val="0"/>
      <w:divBdr>
        <w:top w:val="none" w:sz="0" w:space="0" w:color="auto"/>
        <w:left w:val="none" w:sz="0" w:space="0" w:color="auto"/>
        <w:bottom w:val="none" w:sz="0" w:space="0" w:color="auto"/>
        <w:right w:val="none" w:sz="0" w:space="0" w:color="auto"/>
      </w:divBdr>
    </w:div>
    <w:div w:id="1747415659">
      <w:bodyDiv w:val="1"/>
      <w:marLeft w:val="0"/>
      <w:marRight w:val="0"/>
      <w:marTop w:val="0"/>
      <w:marBottom w:val="0"/>
      <w:divBdr>
        <w:top w:val="none" w:sz="0" w:space="0" w:color="auto"/>
        <w:left w:val="none" w:sz="0" w:space="0" w:color="auto"/>
        <w:bottom w:val="none" w:sz="0" w:space="0" w:color="auto"/>
        <w:right w:val="none" w:sz="0" w:space="0" w:color="auto"/>
      </w:divBdr>
    </w:div>
    <w:div w:id="1750730402">
      <w:bodyDiv w:val="1"/>
      <w:marLeft w:val="0"/>
      <w:marRight w:val="0"/>
      <w:marTop w:val="0"/>
      <w:marBottom w:val="0"/>
      <w:divBdr>
        <w:top w:val="none" w:sz="0" w:space="0" w:color="auto"/>
        <w:left w:val="none" w:sz="0" w:space="0" w:color="auto"/>
        <w:bottom w:val="none" w:sz="0" w:space="0" w:color="auto"/>
        <w:right w:val="none" w:sz="0" w:space="0" w:color="auto"/>
      </w:divBdr>
    </w:div>
    <w:div w:id="1759863940">
      <w:bodyDiv w:val="1"/>
      <w:marLeft w:val="0"/>
      <w:marRight w:val="0"/>
      <w:marTop w:val="0"/>
      <w:marBottom w:val="0"/>
      <w:divBdr>
        <w:top w:val="none" w:sz="0" w:space="0" w:color="auto"/>
        <w:left w:val="none" w:sz="0" w:space="0" w:color="auto"/>
        <w:bottom w:val="none" w:sz="0" w:space="0" w:color="auto"/>
        <w:right w:val="none" w:sz="0" w:space="0" w:color="auto"/>
      </w:divBdr>
    </w:div>
    <w:div w:id="1765223427">
      <w:bodyDiv w:val="1"/>
      <w:marLeft w:val="0"/>
      <w:marRight w:val="0"/>
      <w:marTop w:val="0"/>
      <w:marBottom w:val="0"/>
      <w:divBdr>
        <w:top w:val="none" w:sz="0" w:space="0" w:color="auto"/>
        <w:left w:val="none" w:sz="0" w:space="0" w:color="auto"/>
        <w:bottom w:val="none" w:sz="0" w:space="0" w:color="auto"/>
        <w:right w:val="none" w:sz="0" w:space="0" w:color="auto"/>
      </w:divBdr>
    </w:div>
    <w:div w:id="1769886573">
      <w:bodyDiv w:val="1"/>
      <w:marLeft w:val="0"/>
      <w:marRight w:val="0"/>
      <w:marTop w:val="0"/>
      <w:marBottom w:val="0"/>
      <w:divBdr>
        <w:top w:val="none" w:sz="0" w:space="0" w:color="auto"/>
        <w:left w:val="none" w:sz="0" w:space="0" w:color="auto"/>
        <w:bottom w:val="none" w:sz="0" w:space="0" w:color="auto"/>
        <w:right w:val="none" w:sz="0" w:space="0" w:color="auto"/>
      </w:divBdr>
    </w:div>
    <w:div w:id="1775176029">
      <w:bodyDiv w:val="1"/>
      <w:marLeft w:val="0"/>
      <w:marRight w:val="0"/>
      <w:marTop w:val="0"/>
      <w:marBottom w:val="0"/>
      <w:divBdr>
        <w:top w:val="none" w:sz="0" w:space="0" w:color="auto"/>
        <w:left w:val="none" w:sz="0" w:space="0" w:color="auto"/>
        <w:bottom w:val="none" w:sz="0" w:space="0" w:color="auto"/>
        <w:right w:val="none" w:sz="0" w:space="0" w:color="auto"/>
      </w:divBdr>
    </w:div>
    <w:div w:id="1777093542">
      <w:bodyDiv w:val="1"/>
      <w:marLeft w:val="0"/>
      <w:marRight w:val="0"/>
      <w:marTop w:val="0"/>
      <w:marBottom w:val="0"/>
      <w:divBdr>
        <w:top w:val="none" w:sz="0" w:space="0" w:color="auto"/>
        <w:left w:val="none" w:sz="0" w:space="0" w:color="auto"/>
        <w:bottom w:val="none" w:sz="0" w:space="0" w:color="auto"/>
        <w:right w:val="none" w:sz="0" w:space="0" w:color="auto"/>
      </w:divBdr>
    </w:div>
    <w:div w:id="1779566629">
      <w:bodyDiv w:val="1"/>
      <w:marLeft w:val="0"/>
      <w:marRight w:val="0"/>
      <w:marTop w:val="0"/>
      <w:marBottom w:val="0"/>
      <w:divBdr>
        <w:top w:val="none" w:sz="0" w:space="0" w:color="auto"/>
        <w:left w:val="none" w:sz="0" w:space="0" w:color="auto"/>
        <w:bottom w:val="none" w:sz="0" w:space="0" w:color="auto"/>
        <w:right w:val="none" w:sz="0" w:space="0" w:color="auto"/>
      </w:divBdr>
    </w:div>
    <w:div w:id="1780173683">
      <w:bodyDiv w:val="1"/>
      <w:marLeft w:val="0"/>
      <w:marRight w:val="0"/>
      <w:marTop w:val="0"/>
      <w:marBottom w:val="0"/>
      <w:divBdr>
        <w:top w:val="none" w:sz="0" w:space="0" w:color="auto"/>
        <w:left w:val="none" w:sz="0" w:space="0" w:color="auto"/>
        <w:bottom w:val="none" w:sz="0" w:space="0" w:color="auto"/>
        <w:right w:val="none" w:sz="0" w:space="0" w:color="auto"/>
      </w:divBdr>
    </w:div>
    <w:div w:id="1782068228">
      <w:bodyDiv w:val="1"/>
      <w:marLeft w:val="0"/>
      <w:marRight w:val="0"/>
      <w:marTop w:val="0"/>
      <w:marBottom w:val="0"/>
      <w:divBdr>
        <w:top w:val="none" w:sz="0" w:space="0" w:color="auto"/>
        <w:left w:val="none" w:sz="0" w:space="0" w:color="auto"/>
        <w:bottom w:val="none" w:sz="0" w:space="0" w:color="auto"/>
        <w:right w:val="none" w:sz="0" w:space="0" w:color="auto"/>
      </w:divBdr>
    </w:div>
    <w:div w:id="1798596554">
      <w:bodyDiv w:val="1"/>
      <w:marLeft w:val="0"/>
      <w:marRight w:val="0"/>
      <w:marTop w:val="0"/>
      <w:marBottom w:val="0"/>
      <w:divBdr>
        <w:top w:val="none" w:sz="0" w:space="0" w:color="auto"/>
        <w:left w:val="none" w:sz="0" w:space="0" w:color="auto"/>
        <w:bottom w:val="none" w:sz="0" w:space="0" w:color="auto"/>
        <w:right w:val="none" w:sz="0" w:space="0" w:color="auto"/>
      </w:divBdr>
    </w:div>
    <w:div w:id="1805535891">
      <w:bodyDiv w:val="1"/>
      <w:marLeft w:val="0"/>
      <w:marRight w:val="0"/>
      <w:marTop w:val="0"/>
      <w:marBottom w:val="0"/>
      <w:divBdr>
        <w:top w:val="none" w:sz="0" w:space="0" w:color="auto"/>
        <w:left w:val="none" w:sz="0" w:space="0" w:color="auto"/>
        <w:bottom w:val="none" w:sz="0" w:space="0" w:color="auto"/>
        <w:right w:val="none" w:sz="0" w:space="0" w:color="auto"/>
      </w:divBdr>
    </w:div>
    <w:div w:id="1834565531">
      <w:bodyDiv w:val="1"/>
      <w:marLeft w:val="0"/>
      <w:marRight w:val="0"/>
      <w:marTop w:val="0"/>
      <w:marBottom w:val="0"/>
      <w:divBdr>
        <w:top w:val="none" w:sz="0" w:space="0" w:color="auto"/>
        <w:left w:val="none" w:sz="0" w:space="0" w:color="auto"/>
        <w:bottom w:val="none" w:sz="0" w:space="0" w:color="auto"/>
        <w:right w:val="none" w:sz="0" w:space="0" w:color="auto"/>
      </w:divBdr>
    </w:div>
    <w:div w:id="1837987921">
      <w:bodyDiv w:val="1"/>
      <w:marLeft w:val="0"/>
      <w:marRight w:val="0"/>
      <w:marTop w:val="0"/>
      <w:marBottom w:val="0"/>
      <w:divBdr>
        <w:top w:val="none" w:sz="0" w:space="0" w:color="auto"/>
        <w:left w:val="none" w:sz="0" w:space="0" w:color="auto"/>
        <w:bottom w:val="none" w:sz="0" w:space="0" w:color="auto"/>
        <w:right w:val="none" w:sz="0" w:space="0" w:color="auto"/>
      </w:divBdr>
    </w:div>
    <w:div w:id="1840384654">
      <w:bodyDiv w:val="1"/>
      <w:marLeft w:val="0"/>
      <w:marRight w:val="0"/>
      <w:marTop w:val="0"/>
      <w:marBottom w:val="0"/>
      <w:divBdr>
        <w:top w:val="none" w:sz="0" w:space="0" w:color="auto"/>
        <w:left w:val="none" w:sz="0" w:space="0" w:color="auto"/>
        <w:bottom w:val="none" w:sz="0" w:space="0" w:color="auto"/>
        <w:right w:val="none" w:sz="0" w:space="0" w:color="auto"/>
      </w:divBdr>
    </w:div>
    <w:div w:id="1841844818">
      <w:bodyDiv w:val="1"/>
      <w:marLeft w:val="0"/>
      <w:marRight w:val="0"/>
      <w:marTop w:val="0"/>
      <w:marBottom w:val="0"/>
      <w:divBdr>
        <w:top w:val="none" w:sz="0" w:space="0" w:color="auto"/>
        <w:left w:val="none" w:sz="0" w:space="0" w:color="auto"/>
        <w:bottom w:val="none" w:sz="0" w:space="0" w:color="auto"/>
        <w:right w:val="none" w:sz="0" w:space="0" w:color="auto"/>
      </w:divBdr>
    </w:div>
    <w:div w:id="1845973845">
      <w:bodyDiv w:val="1"/>
      <w:marLeft w:val="0"/>
      <w:marRight w:val="0"/>
      <w:marTop w:val="0"/>
      <w:marBottom w:val="0"/>
      <w:divBdr>
        <w:top w:val="none" w:sz="0" w:space="0" w:color="auto"/>
        <w:left w:val="none" w:sz="0" w:space="0" w:color="auto"/>
        <w:bottom w:val="none" w:sz="0" w:space="0" w:color="auto"/>
        <w:right w:val="none" w:sz="0" w:space="0" w:color="auto"/>
      </w:divBdr>
    </w:div>
    <w:div w:id="1846280786">
      <w:bodyDiv w:val="1"/>
      <w:marLeft w:val="0"/>
      <w:marRight w:val="0"/>
      <w:marTop w:val="0"/>
      <w:marBottom w:val="0"/>
      <w:divBdr>
        <w:top w:val="none" w:sz="0" w:space="0" w:color="auto"/>
        <w:left w:val="none" w:sz="0" w:space="0" w:color="auto"/>
        <w:bottom w:val="none" w:sz="0" w:space="0" w:color="auto"/>
        <w:right w:val="none" w:sz="0" w:space="0" w:color="auto"/>
      </w:divBdr>
    </w:div>
    <w:div w:id="1847671781">
      <w:bodyDiv w:val="1"/>
      <w:marLeft w:val="0"/>
      <w:marRight w:val="0"/>
      <w:marTop w:val="0"/>
      <w:marBottom w:val="0"/>
      <w:divBdr>
        <w:top w:val="none" w:sz="0" w:space="0" w:color="auto"/>
        <w:left w:val="none" w:sz="0" w:space="0" w:color="auto"/>
        <w:bottom w:val="none" w:sz="0" w:space="0" w:color="auto"/>
        <w:right w:val="none" w:sz="0" w:space="0" w:color="auto"/>
      </w:divBdr>
    </w:div>
    <w:div w:id="1849564738">
      <w:bodyDiv w:val="1"/>
      <w:marLeft w:val="0"/>
      <w:marRight w:val="0"/>
      <w:marTop w:val="0"/>
      <w:marBottom w:val="0"/>
      <w:divBdr>
        <w:top w:val="none" w:sz="0" w:space="0" w:color="auto"/>
        <w:left w:val="none" w:sz="0" w:space="0" w:color="auto"/>
        <w:bottom w:val="none" w:sz="0" w:space="0" w:color="auto"/>
        <w:right w:val="none" w:sz="0" w:space="0" w:color="auto"/>
      </w:divBdr>
    </w:div>
    <w:div w:id="1876696847">
      <w:bodyDiv w:val="1"/>
      <w:marLeft w:val="0"/>
      <w:marRight w:val="0"/>
      <w:marTop w:val="0"/>
      <w:marBottom w:val="0"/>
      <w:divBdr>
        <w:top w:val="none" w:sz="0" w:space="0" w:color="auto"/>
        <w:left w:val="none" w:sz="0" w:space="0" w:color="auto"/>
        <w:bottom w:val="none" w:sz="0" w:space="0" w:color="auto"/>
        <w:right w:val="none" w:sz="0" w:space="0" w:color="auto"/>
      </w:divBdr>
    </w:div>
    <w:div w:id="1877497648">
      <w:bodyDiv w:val="1"/>
      <w:marLeft w:val="0"/>
      <w:marRight w:val="0"/>
      <w:marTop w:val="0"/>
      <w:marBottom w:val="0"/>
      <w:divBdr>
        <w:top w:val="none" w:sz="0" w:space="0" w:color="auto"/>
        <w:left w:val="none" w:sz="0" w:space="0" w:color="auto"/>
        <w:bottom w:val="none" w:sz="0" w:space="0" w:color="auto"/>
        <w:right w:val="none" w:sz="0" w:space="0" w:color="auto"/>
      </w:divBdr>
    </w:div>
    <w:div w:id="1898779245">
      <w:bodyDiv w:val="1"/>
      <w:marLeft w:val="0"/>
      <w:marRight w:val="0"/>
      <w:marTop w:val="0"/>
      <w:marBottom w:val="0"/>
      <w:divBdr>
        <w:top w:val="none" w:sz="0" w:space="0" w:color="auto"/>
        <w:left w:val="none" w:sz="0" w:space="0" w:color="auto"/>
        <w:bottom w:val="none" w:sz="0" w:space="0" w:color="auto"/>
        <w:right w:val="none" w:sz="0" w:space="0" w:color="auto"/>
      </w:divBdr>
    </w:div>
    <w:div w:id="1918325380">
      <w:bodyDiv w:val="1"/>
      <w:marLeft w:val="0"/>
      <w:marRight w:val="0"/>
      <w:marTop w:val="0"/>
      <w:marBottom w:val="0"/>
      <w:divBdr>
        <w:top w:val="none" w:sz="0" w:space="0" w:color="auto"/>
        <w:left w:val="none" w:sz="0" w:space="0" w:color="auto"/>
        <w:bottom w:val="none" w:sz="0" w:space="0" w:color="auto"/>
        <w:right w:val="none" w:sz="0" w:space="0" w:color="auto"/>
      </w:divBdr>
    </w:div>
    <w:div w:id="1920820229">
      <w:bodyDiv w:val="1"/>
      <w:marLeft w:val="0"/>
      <w:marRight w:val="0"/>
      <w:marTop w:val="0"/>
      <w:marBottom w:val="0"/>
      <w:divBdr>
        <w:top w:val="none" w:sz="0" w:space="0" w:color="auto"/>
        <w:left w:val="none" w:sz="0" w:space="0" w:color="auto"/>
        <w:bottom w:val="none" w:sz="0" w:space="0" w:color="auto"/>
        <w:right w:val="none" w:sz="0" w:space="0" w:color="auto"/>
      </w:divBdr>
    </w:div>
    <w:div w:id="1921597580">
      <w:bodyDiv w:val="1"/>
      <w:marLeft w:val="0"/>
      <w:marRight w:val="0"/>
      <w:marTop w:val="0"/>
      <w:marBottom w:val="0"/>
      <w:divBdr>
        <w:top w:val="none" w:sz="0" w:space="0" w:color="auto"/>
        <w:left w:val="none" w:sz="0" w:space="0" w:color="auto"/>
        <w:bottom w:val="none" w:sz="0" w:space="0" w:color="auto"/>
        <w:right w:val="none" w:sz="0" w:space="0" w:color="auto"/>
      </w:divBdr>
    </w:div>
    <w:div w:id="1925067772">
      <w:bodyDiv w:val="1"/>
      <w:marLeft w:val="0"/>
      <w:marRight w:val="0"/>
      <w:marTop w:val="0"/>
      <w:marBottom w:val="0"/>
      <w:divBdr>
        <w:top w:val="none" w:sz="0" w:space="0" w:color="auto"/>
        <w:left w:val="none" w:sz="0" w:space="0" w:color="auto"/>
        <w:bottom w:val="none" w:sz="0" w:space="0" w:color="auto"/>
        <w:right w:val="none" w:sz="0" w:space="0" w:color="auto"/>
      </w:divBdr>
    </w:div>
    <w:div w:id="1936131774">
      <w:bodyDiv w:val="1"/>
      <w:marLeft w:val="0"/>
      <w:marRight w:val="0"/>
      <w:marTop w:val="0"/>
      <w:marBottom w:val="0"/>
      <w:divBdr>
        <w:top w:val="none" w:sz="0" w:space="0" w:color="auto"/>
        <w:left w:val="none" w:sz="0" w:space="0" w:color="auto"/>
        <w:bottom w:val="none" w:sz="0" w:space="0" w:color="auto"/>
        <w:right w:val="none" w:sz="0" w:space="0" w:color="auto"/>
      </w:divBdr>
    </w:div>
    <w:div w:id="1942568265">
      <w:bodyDiv w:val="1"/>
      <w:marLeft w:val="0"/>
      <w:marRight w:val="0"/>
      <w:marTop w:val="0"/>
      <w:marBottom w:val="0"/>
      <w:divBdr>
        <w:top w:val="none" w:sz="0" w:space="0" w:color="auto"/>
        <w:left w:val="none" w:sz="0" w:space="0" w:color="auto"/>
        <w:bottom w:val="none" w:sz="0" w:space="0" w:color="auto"/>
        <w:right w:val="none" w:sz="0" w:space="0" w:color="auto"/>
      </w:divBdr>
    </w:div>
    <w:div w:id="1944536057">
      <w:bodyDiv w:val="1"/>
      <w:marLeft w:val="0"/>
      <w:marRight w:val="0"/>
      <w:marTop w:val="0"/>
      <w:marBottom w:val="0"/>
      <w:divBdr>
        <w:top w:val="none" w:sz="0" w:space="0" w:color="auto"/>
        <w:left w:val="none" w:sz="0" w:space="0" w:color="auto"/>
        <w:bottom w:val="none" w:sz="0" w:space="0" w:color="auto"/>
        <w:right w:val="none" w:sz="0" w:space="0" w:color="auto"/>
      </w:divBdr>
    </w:div>
    <w:div w:id="1951206093">
      <w:bodyDiv w:val="1"/>
      <w:marLeft w:val="0"/>
      <w:marRight w:val="0"/>
      <w:marTop w:val="0"/>
      <w:marBottom w:val="0"/>
      <w:divBdr>
        <w:top w:val="none" w:sz="0" w:space="0" w:color="auto"/>
        <w:left w:val="none" w:sz="0" w:space="0" w:color="auto"/>
        <w:bottom w:val="none" w:sz="0" w:space="0" w:color="auto"/>
        <w:right w:val="none" w:sz="0" w:space="0" w:color="auto"/>
      </w:divBdr>
    </w:div>
    <w:div w:id="1952546393">
      <w:bodyDiv w:val="1"/>
      <w:marLeft w:val="0"/>
      <w:marRight w:val="0"/>
      <w:marTop w:val="0"/>
      <w:marBottom w:val="0"/>
      <w:divBdr>
        <w:top w:val="none" w:sz="0" w:space="0" w:color="auto"/>
        <w:left w:val="none" w:sz="0" w:space="0" w:color="auto"/>
        <w:bottom w:val="none" w:sz="0" w:space="0" w:color="auto"/>
        <w:right w:val="none" w:sz="0" w:space="0" w:color="auto"/>
      </w:divBdr>
    </w:div>
    <w:div w:id="1962880208">
      <w:bodyDiv w:val="1"/>
      <w:marLeft w:val="0"/>
      <w:marRight w:val="0"/>
      <w:marTop w:val="0"/>
      <w:marBottom w:val="0"/>
      <w:divBdr>
        <w:top w:val="none" w:sz="0" w:space="0" w:color="auto"/>
        <w:left w:val="none" w:sz="0" w:space="0" w:color="auto"/>
        <w:bottom w:val="none" w:sz="0" w:space="0" w:color="auto"/>
        <w:right w:val="none" w:sz="0" w:space="0" w:color="auto"/>
      </w:divBdr>
    </w:div>
    <w:div w:id="1964459449">
      <w:bodyDiv w:val="1"/>
      <w:marLeft w:val="0"/>
      <w:marRight w:val="0"/>
      <w:marTop w:val="0"/>
      <w:marBottom w:val="0"/>
      <w:divBdr>
        <w:top w:val="none" w:sz="0" w:space="0" w:color="auto"/>
        <w:left w:val="none" w:sz="0" w:space="0" w:color="auto"/>
        <w:bottom w:val="none" w:sz="0" w:space="0" w:color="auto"/>
        <w:right w:val="none" w:sz="0" w:space="0" w:color="auto"/>
      </w:divBdr>
    </w:div>
    <w:div w:id="1966346358">
      <w:bodyDiv w:val="1"/>
      <w:marLeft w:val="0"/>
      <w:marRight w:val="0"/>
      <w:marTop w:val="0"/>
      <w:marBottom w:val="0"/>
      <w:divBdr>
        <w:top w:val="none" w:sz="0" w:space="0" w:color="auto"/>
        <w:left w:val="none" w:sz="0" w:space="0" w:color="auto"/>
        <w:bottom w:val="none" w:sz="0" w:space="0" w:color="auto"/>
        <w:right w:val="none" w:sz="0" w:space="0" w:color="auto"/>
      </w:divBdr>
    </w:div>
    <w:div w:id="1974828206">
      <w:bodyDiv w:val="1"/>
      <w:marLeft w:val="0"/>
      <w:marRight w:val="0"/>
      <w:marTop w:val="0"/>
      <w:marBottom w:val="0"/>
      <w:divBdr>
        <w:top w:val="none" w:sz="0" w:space="0" w:color="auto"/>
        <w:left w:val="none" w:sz="0" w:space="0" w:color="auto"/>
        <w:bottom w:val="none" w:sz="0" w:space="0" w:color="auto"/>
        <w:right w:val="none" w:sz="0" w:space="0" w:color="auto"/>
      </w:divBdr>
    </w:div>
    <w:div w:id="1981156318">
      <w:bodyDiv w:val="1"/>
      <w:marLeft w:val="0"/>
      <w:marRight w:val="0"/>
      <w:marTop w:val="0"/>
      <w:marBottom w:val="0"/>
      <w:divBdr>
        <w:top w:val="none" w:sz="0" w:space="0" w:color="auto"/>
        <w:left w:val="none" w:sz="0" w:space="0" w:color="auto"/>
        <w:bottom w:val="none" w:sz="0" w:space="0" w:color="auto"/>
        <w:right w:val="none" w:sz="0" w:space="0" w:color="auto"/>
      </w:divBdr>
    </w:div>
    <w:div w:id="1983264572">
      <w:bodyDiv w:val="1"/>
      <w:marLeft w:val="0"/>
      <w:marRight w:val="0"/>
      <w:marTop w:val="0"/>
      <w:marBottom w:val="0"/>
      <w:divBdr>
        <w:top w:val="none" w:sz="0" w:space="0" w:color="auto"/>
        <w:left w:val="none" w:sz="0" w:space="0" w:color="auto"/>
        <w:bottom w:val="none" w:sz="0" w:space="0" w:color="auto"/>
        <w:right w:val="none" w:sz="0" w:space="0" w:color="auto"/>
      </w:divBdr>
    </w:div>
    <w:div w:id="1996295680">
      <w:bodyDiv w:val="1"/>
      <w:marLeft w:val="0"/>
      <w:marRight w:val="0"/>
      <w:marTop w:val="0"/>
      <w:marBottom w:val="0"/>
      <w:divBdr>
        <w:top w:val="none" w:sz="0" w:space="0" w:color="auto"/>
        <w:left w:val="none" w:sz="0" w:space="0" w:color="auto"/>
        <w:bottom w:val="none" w:sz="0" w:space="0" w:color="auto"/>
        <w:right w:val="none" w:sz="0" w:space="0" w:color="auto"/>
      </w:divBdr>
    </w:div>
    <w:div w:id="1997420095">
      <w:bodyDiv w:val="1"/>
      <w:marLeft w:val="0"/>
      <w:marRight w:val="0"/>
      <w:marTop w:val="0"/>
      <w:marBottom w:val="0"/>
      <w:divBdr>
        <w:top w:val="none" w:sz="0" w:space="0" w:color="auto"/>
        <w:left w:val="none" w:sz="0" w:space="0" w:color="auto"/>
        <w:bottom w:val="none" w:sz="0" w:space="0" w:color="auto"/>
        <w:right w:val="none" w:sz="0" w:space="0" w:color="auto"/>
      </w:divBdr>
    </w:div>
    <w:div w:id="2017609382">
      <w:bodyDiv w:val="1"/>
      <w:marLeft w:val="0"/>
      <w:marRight w:val="0"/>
      <w:marTop w:val="0"/>
      <w:marBottom w:val="0"/>
      <w:divBdr>
        <w:top w:val="none" w:sz="0" w:space="0" w:color="auto"/>
        <w:left w:val="none" w:sz="0" w:space="0" w:color="auto"/>
        <w:bottom w:val="none" w:sz="0" w:space="0" w:color="auto"/>
        <w:right w:val="none" w:sz="0" w:space="0" w:color="auto"/>
      </w:divBdr>
    </w:div>
    <w:div w:id="2019504971">
      <w:bodyDiv w:val="1"/>
      <w:marLeft w:val="0"/>
      <w:marRight w:val="0"/>
      <w:marTop w:val="0"/>
      <w:marBottom w:val="0"/>
      <w:divBdr>
        <w:top w:val="none" w:sz="0" w:space="0" w:color="auto"/>
        <w:left w:val="none" w:sz="0" w:space="0" w:color="auto"/>
        <w:bottom w:val="none" w:sz="0" w:space="0" w:color="auto"/>
        <w:right w:val="none" w:sz="0" w:space="0" w:color="auto"/>
      </w:divBdr>
    </w:div>
    <w:div w:id="2027171625">
      <w:bodyDiv w:val="1"/>
      <w:marLeft w:val="0"/>
      <w:marRight w:val="0"/>
      <w:marTop w:val="0"/>
      <w:marBottom w:val="0"/>
      <w:divBdr>
        <w:top w:val="none" w:sz="0" w:space="0" w:color="auto"/>
        <w:left w:val="none" w:sz="0" w:space="0" w:color="auto"/>
        <w:bottom w:val="none" w:sz="0" w:space="0" w:color="auto"/>
        <w:right w:val="none" w:sz="0" w:space="0" w:color="auto"/>
      </w:divBdr>
    </w:div>
    <w:div w:id="2033918007">
      <w:bodyDiv w:val="1"/>
      <w:marLeft w:val="0"/>
      <w:marRight w:val="0"/>
      <w:marTop w:val="0"/>
      <w:marBottom w:val="0"/>
      <w:divBdr>
        <w:top w:val="none" w:sz="0" w:space="0" w:color="auto"/>
        <w:left w:val="none" w:sz="0" w:space="0" w:color="auto"/>
        <w:bottom w:val="none" w:sz="0" w:space="0" w:color="auto"/>
        <w:right w:val="none" w:sz="0" w:space="0" w:color="auto"/>
      </w:divBdr>
    </w:div>
    <w:div w:id="2042778754">
      <w:bodyDiv w:val="1"/>
      <w:marLeft w:val="0"/>
      <w:marRight w:val="0"/>
      <w:marTop w:val="0"/>
      <w:marBottom w:val="0"/>
      <w:divBdr>
        <w:top w:val="none" w:sz="0" w:space="0" w:color="auto"/>
        <w:left w:val="none" w:sz="0" w:space="0" w:color="auto"/>
        <w:bottom w:val="none" w:sz="0" w:space="0" w:color="auto"/>
        <w:right w:val="none" w:sz="0" w:space="0" w:color="auto"/>
      </w:divBdr>
    </w:div>
    <w:div w:id="2048527913">
      <w:bodyDiv w:val="1"/>
      <w:marLeft w:val="0"/>
      <w:marRight w:val="0"/>
      <w:marTop w:val="0"/>
      <w:marBottom w:val="0"/>
      <w:divBdr>
        <w:top w:val="none" w:sz="0" w:space="0" w:color="auto"/>
        <w:left w:val="none" w:sz="0" w:space="0" w:color="auto"/>
        <w:bottom w:val="none" w:sz="0" w:space="0" w:color="auto"/>
        <w:right w:val="none" w:sz="0" w:space="0" w:color="auto"/>
      </w:divBdr>
    </w:div>
    <w:div w:id="2056539975">
      <w:bodyDiv w:val="1"/>
      <w:marLeft w:val="0"/>
      <w:marRight w:val="0"/>
      <w:marTop w:val="0"/>
      <w:marBottom w:val="0"/>
      <w:divBdr>
        <w:top w:val="none" w:sz="0" w:space="0" w:color="auto"/>
        <w:left w:val="none" w:sz="0" w:space="0" w:color="auto"/>
        <w:bottom w:val="none" w:sz="0" w:space="0" w:color="auto"/>
        <w:right w:val="none" w:sz="0" w:space="0" w:color="auto"/>
      </w:divBdr>
    </w:div>
    <w:div w:id="2059932144">
      <w:bodyDiv w:val="1"/>
      <w:marLeft w:val="0"/>
      <w:marRight w:val="0"/>
      <w:marTop w:val="0"/>
      <w:marBottom w:val="0"/>
      <w:divBdr>
        <w:top w:val="none" w:sz="0" w:space="0" w:color="auto"/>
        <w:left w:val="none" w:sz="0" w:space="0" w:color="auto"/>
        <w:bottom w:val="none" w:sz="0" w:space="0" w:color="auto"/>
        <w:right w:val="none" w:sz="0" w:space="0" w:color="auto"/>
      </w:divBdr>
    </w:div>
    <w:div w:id="2069692738">
      <w:bodyDiv w:val="1"/>
      <w:marLeft w:val="0"/>
      <w:marRight w:val="0"/>
      <w:marTop w:val="0"/>
      <w:marBottom w:val="0"/>
      <w:divBdr>
        <w:top w:val="none" w:sz="0" w:space="0" w:color="auto"/>
        <w:left w:val="none" w:sz="0" w:space="0" w:color="auto"/>
        <w:bottom w:val="none" w:sz="0" w:space="0" w:color="auto"/>
        <w:right w:val="none" w:sz="0" w:space="0" w:color="auto"/>
      </w:divBdr>
    </w:div>
    <w:div w:id="2082755527">
      <w:bodyDiv w:val="1"/>
      <w:marLeft w:val="0"/>
      <w:marRight w:val="0"/>
      <w:marTop w:val="0"/>
      <w:marBottom w:val="0"/>
      <w:divBdr>
        <w:top w:val="none" w:sz="0" w:space="0" w:color="auto"/>
        <w:left w:val="none" w:sz="0" w:space="0" w:color="auto"/>
        <w:bottom w:val="none" w:sz="0" w:space="0" w:color="auto"/>
        <w:right w:val="none" w:sz="0" w:space="0" w:color="auto"/>
      </w:divBdr>
    </w:div>
    <w:div w:id="2109737484">
      <w:bodyDiv w:val="1"/>
      <w:marLeft w:val="0"/>
      <w:marRight w:val="0"/>
      <w:marTop w:val="0"/>
      <w:marBottom w:val="0"/>
      <w:divBdr>
        <w:top w:val="none" w:sz="0" w:space="0" w:color="auto"/>
        <w:left w:val="none" w:sz="0" w:space="0" w:color="auto"/>
        <w:bottom w:val="none" w:sz="0" w:space="0" w:color="auto"/>
        <w:right w:val="none" w:sz="0" w:space="0" w:color="auto"/>
      </w:divBdr>
    </w:div>
    <w:div w:id="2114595554">
      <w:bodyDiv w:val="1"/>
      <w:marLeft w:val="0"/>
      <w:marRight w:val="0"/>
      <w:marTop w:val="0"/>
      <w:marBottom w:val="0"/>
      <w:divBdr>
        <w:top w:val="none" w:sz="0" w:space="0" w:color="auto"/>
        <w:left w:val="none" w:sz="0" w:space="0" w:color="auto"/>
        <w:bottom w:val="none" w:sz="0" w:space="0" w:color="auto"/>
        <w:right w:val="none" w:sz="0" w:space="0" w:color="auto"/>
      </w:divBdr>
    </w:div>
    <w:div w:id="2122409670">
      <w:bodyDiv w:val="1"/>
      <w:marLeft w:val="0"/>
      <w:marRight w:val="0"/>
      <w:marTop w:val="0"/>
      <w:marBottom w:val="0"/>
      <w:divBdr>
        <w:top w:val="none" w:sz="0" w:space="0" w:color="auto"/>
        <w:left w:val="none" w:sz="0" w:space="0" w:color="auto"/>
        <w:bottom w:val="none" w:sz="0" w:space="0" w:color="auto"/>
        <w:right w:val="none" w:sz="0" w:space="0" w:color="auto"/>
      </w:divBdr>
    </w:div>
    <w:div w:id="2124616140">
      <w:bodyDiv w:val="1"/>
      <w:marLeft w:val="0"/>
      <w:marRight w:val="0"/>
      <w:marTop w:val="0"/>
      <w:marBottom w:val="0"/>
      <w:divBdr>
        <w:top w:val="none" w:sz="0" w:space="0" w:color="auto"/>
        <w:left w:val="none" w:sz="0" w:space="0" w:color="auto"/>
        <w:bottom w:val="none" w:sz="0" w:space="0" w:color="auto"/>
        <w:right w:val="none" w:sz="0" w:space="0" w:color="auto"/>
      </w:divBdr>
    </w:div>
    <w:div w:id="2125297590">
      <w:bodyDiv w:val="1"/>
      <w:marLeft w:val="0"/>
      <w:marRight w:val="0"/>
      <w:marTop w:val="0"/>
      <w:marBottom w:val="0"/>
      <w:divBdr>
        <w:top w:val="none" w:sz="0" w:space="0" w:color="auto"/>
        <w:left w:val="none" w:sz="0" w:space="0" w:color="auto"/>
        <w:bottom w:val="none" w:sz="0" w:space="0" w:color="auto"/>
        <w:right w:val="none" w:sz="0" w:space="0" w:color="auto"/>
      </w:divBdr>
    </w:div>
    <w:div w:id="2127579903">
      <w:bodyDiv w:val="1"/>
      <w:marLeft w:val="0"/>
      <w:marRight w:val="0"/>
      <w:marTop w:val="0"/>
      <w:marBottom w:val="0"/>
      <w:divBdr>
        <w:top w:val="none" w:sz="0" w:space="0" w:color="auto"/>
        <w:left w:val="none" w:sz="0" w:space="0" w:color="auto"/>
        <w:bottom w:val="none" w:sz="0" w:space="0" w:color="auto"/>
        <w:right w:val="none" w:sz="0" w:space="0" w:color="auto"/>
      </w:divBdr>
    </w:div>
    <w:div w:id="2135326325">
      <w:bodyDiv w:val="1"/>
      <w:marLeft w:val="0"/>
      <w:marRight w:val="0"/>
      <w:marTop w:val="0"/>
      <w:marBottom w:val="0"/>
      <w:divBdr>
        <w:top w:val="none" w:sz="0" w:space="0" w:color="auto"/>
        <w:left w:val="none" w:sz="0" w:space="0" w:color="auto"/>
        <w:bottom w:val="none" w:sz="0" w:space="0" w:color="auto"/>
        <w:right w:val="none" w:sz="0" w:space="0" w:color="auto"/>
      </w:divBdr>
    </w:div>
    <w:div w:id="2135950870">
      <w:bodyDiv w:val="1"/>
      <w:marLeft w:val="0"/>
      <w:marRight w:val="0"/>
      <w:marTop w:val="0"/>
      <w:marBottom w:val="0"/>
      <w:divBdr>
        <w:top w:val="none" w:sz="0" w:space="0" w:color="auto"/>
        <w:left w:val="none" w:sz="0" w:space="0" w:color="auto"/>
        <w:bottom w:val="none" w:sz="0" w:space="0" w:color="auto"/>
        <w:right w:val="none" w:sz="0" w:space="0" w:color="auto"/>
      </w:divBdr>
    </w:div>
    <w:div w:id="21376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977EC-FA73-4E6F-89A3-CC905AEE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33</Pages>
  <Words>14483</Words>
  <Characters>79658</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285</cp:revision>
  <cp:lastPrinted>2025-07-21T14:14:00Z</cp:lastPrinted>
  <dcterms:created xsi:type="dcterms:W3CDTF">2025-04-13T16:25:00Z</dcterms:created>
  <dcterms:modified xsi:type="dcterms:W3CDTF">2025-07-21T16:25:00Z</dcterms:modified>
</cp:coreProperties>
</file>